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0E933" w14:textId="11E2EB48" w:rsidR="005666A9" w:rsidRPr="00E1737D" w:rsidRDefault="005666A9" w:rsidP="005666A9">
      <w:pPr>
        <w:pStyle w:val="a5"/>
        <w:tabs>
          <w:tab w:val="left" w:pos="8280"/>
        </w:tabs>
        <w:spacing w:line="280" w:lineRule="exact"/>
        <w:jc w:val="both"/>
        <w:rPr>
          <w:rFonts w:ascii="Calibri" w:eastAsia="PMingLiU" w:hAnsi="Calibri" w:cs="Arial"/>
          <w:noProof w:val="0"/>
          <w:sz w:val="24"/>
          <w:szCs w:val="24"/>
          <w:lang w:eastAsia="ja-JP"/>
        </w:rPr>
      </w:pPr>
      <w:r w:rsidRPr="00E1737D">
        <w:rPr>
          <w:rFonts w:ascii="Calibri" w:eastAsia="PMingLiU" w:hAnsi="Calibri" w:cs="Arial"/>
          <w:noProof w:val="0"/>
          <w:sz w:val="24"/>
          <w:szCs w:val="24"/>
          <w:lang w:eastAsia="ja-JP"/>
        </w:rPr>
        <w:t xml:space="preserve">3GPP TSG-RAN WG4 Meeting #88bis                       </w:t>
      </w:r>
      <w:r w:rsidRPr="00E1737D">
        <w:rPr>
          <w:rFonts w:ascii="Calibri" w:eastAsia="PMingLiU" w:hAnsi="Calibri" w:cs="Arial"/>
          <w:noProof w:val="0"/>
          <w:sz w:val="24"/>
          <w:szCs w:val="24"/>
          <w:lang w:eastAsia="ja-JP"/>
        </w:rPr>
        <w:tab/>
        <w:t xml:space="preserve"> R4-181</w:t>
      </w:r>
      <w:r w:rsidR="00E1737D">
        <w:rPr>
          <w:rFonts w:ascii="Calibri" w:eastAsia="PMingLiU" w:hAnsi="Calibri" w:cs="Arial"/>
          <w:noProof w:val="0"/>
          <w:sz w:val="24"/>
          <w:szCs w:val="24"/>
          <w:lang w:eastAsia="ja-JP"/>
        </w:rPr>
        <w:t>2532</w:t>
      </w:r>
      <w:bookmarkStart w:id="0" w:name="_GoBack"/>
      <w:bookmarkEnd w:id="0"/>
    </w:p>
    <w:p w14:paraId="785F2889" w14:textId="77777777" w:rsidR="005666A9" w:rsidRPr="00197406" w:rsidRDefault="005666A9" w:rsidP="005666A9">
      <w:pPr>
        <w:tabs>
          <w:tab w:val="left" w:pos="1985"/>
        </w:tabs>
        <w:jc w:val="both"/>
        <w:rPr>
          <w:rFonts w:ascii="Calibri" w:eastAsia="PMingLiU" w:hAnsi="Calibri" w:cs="Arial"/>
          <w:b/>
          <w:sz w:val="24"/>
          <w:szCs w:val="24"/>
          <w:lang w:eastAsia="ja-JP"/>
        </w:rPr>
      </w:pPr>
      <w:r w:rsidRPr="00E1737D">
        <w:rPr>
          <w:rFonts w:ascii="Calibri" w:hAnsi="Calibri" w:cs="Arial"/>
          <w:b/>
          <w:sz w:val="24"/>
          <w:lang w:eastAsia="ja-JP"/>
        </w:rPr>
        <w:t>Chengdu, China, Oct. 8</w:t>
      </w:r>
      <w:r w:rsidRPr="00E1737D">
        <w:rPr>
          <w:rFonts w:ascii="Calibri" w:hAnsi="Calibri" w:cs="Arial"/>
          <w:b/>
          <w:sz w:val="24"/>
          <w:vertAlign w:val="superscript"/>
          <w:lang w:eastAsia="ja-JP"/>
        </w:rPr>
        <w:t>th</w:t>
      </w:r>
      <w:r w:rsidRPr="00E1737D">
        <w:rPr>
          <w:rFonts w:ascii="Calibri" w:hAnsi="Calibri" w:cs="Arial"/>
          <w:b/>
          <w:sz w:val="24"/>
          <w:lang w:eastAsia="ja-JP"/>
        </w:rPr>
        <w:t xml:space="preserve"> – 12</w:t>
      </w:r>
      <w:r w:rsidRPr="00E1737D">
        <w:rPr>
          <w:rFonts w:ascii="Calibri" w:hAnsi="Calibri" w:cs="Arial"/>
          <w:b/>
          <w:sz w:val="24"/>
          <w:vertAlign w:val="superscript"/>
          <w:lang w:eastAsia="ja-JP"/>
        </w:rPr>
        <w:t>th</w:t>
      </w:r>
      <w:r w:rsidRPr="00E1737D">
        <w:rPr>
          <w:rFonts w:cs="Arial"/>
          <w:b/>
          <w:lang w:eastAsia="ja-JP"/>
        </w:rPr>
        <w:t>,</w:t>
      </w:r>
      <w:r w:rsidRPr="00E1737D">
        <w:rPr>
          <w:rFonts w:ascii="Calibri" w:eastAsia="PMingLiU" w:hAnsi="Calibri" w:cs="Arial"/>
          <w:b/>
          <w:sz w:val="24"/>
          <w:szCs w:val="24"/>
          <w:lang w:eastAsia="ja-JP"/>
        </w:rPr>
        <w:t xml:space="preserve"> 2018</w:t>
      </w:r>
      <w:r w:rsidRPr="00197406">
        <w:rPr>
          <w:rFonts w:ascii="Calibri" w:eastAsia="PMingLiU" w:hAnsi="Calibri" w:cs="Arial"/>
          <w:b/>
          <w:sz w:val="24"/>
          <w:szCs w:val="24"/>
          <w:lang w:eastAsia="ja-JP"/>
        </w:rPr>
        <w:t xml:space="preserve">                                                          </w:t>
      </w:r>
    </w:p>
    <w:p w14:paraId="0426E601" w14:textId="77777777" w:rsidR="002E58D2" w:rsidRPr="005666A9" w:rsidRDefault="002E58D2" w:rsidP="002E58D2">
      <w:pPr>
        <w:pStyle w:val="a5"/>
        <w:rPr>
          <w:rFonts w:ascii="Calibri" w:eastAsia="PMingLiU" w:hAnsi="Calibri"/>
          <w:sz w:val="24"/>
          <w:highlight w:val="yellow"/>
          <w:lang w:eastAsia="zh-TW"/>
        </w:rPr>
      </w:pPr>
    </w:p>
    <w:p w14:paraId="6352570E" w14:textId="4E68E28F" w:rsidR="00FB1EA3" w:rsidRPr="00F52EE4" w:rsidRDefault="00FB1EA3" w:rsidP="00FB1EA3">
      <w:pPr>
        <w:ind w:left="1985" w:hanging="1985"/>
        <w:rPr>
          <w:rFonts w:cs="Arial"/>
          <w:b/>
          <w:bCs/>
        </w:rPr>
      </w:pPr>
      <w:r w:rsidRPr="00286EC0">
        <w:rPr>
          <w:rFonts w:cs="Arial"/>
          <w:b/>
          <w:bCs/>
        </w:rPr>
        <w:t>Agenda Item:</w:t>
      </w:r>
      <w:r w:rsidRPr="00286EC0">
        <w:rPr>
          <w:rFonts w:cs="Arial"/>
          <w:b/>
          <w:bCs/>
        </w:rPr>
        <w:tab/>
      </w:r>
      <w:r w:rsidR="0045049C" w:rsidRPr="00286EC0">
        <w:rPr>
          <w:rFonts w:cs="Arial"/>
          <w:b/>
          <w:bCs/>
        </w:rPr>
        <w:t>7.11.</w:t>
      </w:r>
      <w:r w:rsidR="005666A9" w:rsidRPr="00286EC0">
        <w:rPr>
          <w:rFonts w:cs="Arial"/>
          <w:b/>
          <w:bCs/>
        </w:rPr>
        <w:t>7</w:t>
      </w:r>
      <w:r w:rsidR="0045049C" w:rsidRPr="00286EC0">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86F7DD2" w:rsidR="00174EC2" w:rsidRDefault="0034111C" w:rsidP="007A4FCF">
      <w:pPr>
        <w:ind w:left="1985" w:hanging="1985"/>
        <w:rPr>
          <w:rFonts w:cs="Arial"/>
          <w:b/>
          <w:bCs/>
        </w:rPr>
      </w:pPr>
      <w:r w:rsidRPr="000C45FD">
        <w:rPr>
          <w:rFonts w:cs="Arial"/>
          <w:b/>
          <w:bCs/>
        </w:rPr>
        <w:t>Title:</w:t>
      </w:r>
      <w:r w:rsidRPr="000C45FD">
        <w:rPr>
          <w:rFonts w:cs="Arial"/>
          <w:b/>
          <w:bCs/>
        </w:rPr>
        <w:tab/>
      </w:r>
      <w:r w:rsidR="005666A9">
        <w:rPr>
          <w:rFonts w:cs="Arial"/>
          <w:b/>
          <w:bCs/>
        </w:rPr>
        <w:t>Remaining</w:t>
      </w:r>
      <w:r w:rsidR="00124B42">
        <w:rPr>
          <w:rFonts w:cs="Arial"/>
          <w:b/>
          <w:bCs/>
        </w:rPr>
        <w:t xml:space="preserve"> Issue</w:t>
      </w:r>
      <w:r w:rsidR="00A33B3C">
        <w:rPr>
          <w:rFonts w:cs="Arial"/>
          <w:b/>
          <w:bCs/>
        </w:rPr>
        <w:t xml:space="preserve"> on</w:t>
      </w:r>
      <w:r w:rsidR="001A4F45">
        <w:rPr>
          <w:rFonts w:cs="Arial"/>
          <w:b/>
          <w:bCs/>
        </w:rPr>
        <w:t xml:space="preserve"> </w:t>
      </w:r>
      <w:r w:rsidR="0001531E">
        <w:rPr>
          <w:rFonts w:cs="Arial"/>
          <w:b/>
          <w:bCs/>
        </w:rPr>
        <w:t>SCell Activation Delay and Interruption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21933E74" w:rsidR="0067734F" w:rsidRDefault="0004269E" w:rsidP="00154BC6">
      <w:pPr>
        <w:jc w:val="both"/>
      </w:pPr>
      <w:r w:rsidRPr="0020001D">
        <w:t xml:space="preserve">In </w:t>
      </w:r>
      <w:r w:rsidR="005666A9">
        <w:t>last RAN4 #88 meeting</w:t>
      </w:r>
      <w:r w:rsidR="00755FEF">
        <w:t>,</w:t>
      </w:r>
      <w:r w:rsidR="00EE5E2E">
        <w:t xml:space="preserve"> we had made </w:t>
      </w:r>
      <w:r w:rsidR="005666A9">
        <w:t>the agreement</w:t>
      </w:r>
      <w:r w:rsidR="00EE5E2E">
        <w:t xml:space="preserve"> </w:t>
      </w:r>
      <w:r w:rsidR="005666A9">
        <w:t>to align</w:t>
      </w:r>
      <w:r w:rsidR="00EE5E2E">
        <w:t xml:space="preserve"> SCell activation and deactivation delay and interruption </w:t>
      </w:r>
      <w:r w:rsidR="005666A9">
        <w:t>requirement</w:t>
      </w:r>
      <w:r w:rsidR="00EE5E2E">
        <w:t>. The current specification is listed as follow.</w:t>
      </w:r>
      <w:r w:rsidR="0067734F">
        <w:t xml:space="preserve"> </w:t>
      </w:r>
    </w:p>
    <w:p w14:paraId="133F2DB8" w14:textId="7E41F319" w:rsidR="00EE5E2E" w:rsidRDefault="00EE5E2E" w:rsidP="005666A9">
      <w:pPr>
        <w:jc w:val="both"/>
      </w:pPr>
      <w:r>
        <w:t xml:space="preserve">For Scell activation and deactivation delay </w:t>
      </w:r>
      <w:r w:rsidR="00A10387">
        <w:t>requirement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5E2E" w:rsidRPr="00871892" w14:paraId="6AD69F89" w14:textId="77777777" w:rsidTr="00063E28">
        <w:tc>
          <w:tcPr>
            <w:tcW w:w="9629" w:type="dxa"/>
            <w:shd w:val="clear" w:color="auto" w:fill="auto"/>
          </w:tcPr>
          <w:p w14:paraId="6A3FC6D8" w14:textId="77777777" w:rsidR="005666A9" w:rsidRPr="005666A9" w:rsidRDefault="005666A9" w:rsidP="005666A9">
            <w:pPr>
              <w:ind w:leftChars="300" w:left="660"/>
              <w:rPr>
                <w:rFonts w:ascii="Times New Roman" w:hAnsi="Times New Roman" w:cs="Times New Roman"/>
                <w:sz w:val="18"/>
                <w:szCs w:val="18"/>
              </w:rPr>
            </w:pPr>
            <w:r w:rsidRPr="005666A9">
              <w:rPr>
                <w:rFonts w:ascii="Times New Roman" w:hAnsi="Times New Roman" w:cs="Times New Roman"/>
                <w:sz w:val="18"/>
                <w:szCs w:val="18"/>
              </w:rPr>
              <w:t>T</w:t>
            </w:r>
            <w:r w:rsidRPr="005666A9">
              <w:rPr>
                <w:rFonts w:ascii="Times New Roman" w:hAnsi="Times New Roman" w:cs="Times New Roman"/>
                <w:sz w:val="18"/>
                <w:szCs w:val="18"/>
                <w:vertAlign w:val="subscript"/>
              </w:rPr>
              <w:t>activation_time</w:t>
            </w:r>
            <w:r w:rsidRPr="005666A9">
              <w:rPr>
                <w:rFonts w:ascii="Times New Roman" w:hAnsi="Times New Roman" w:cs="Times New Roman"/>
                <w:sz w:val="18"/>
                <w:szCs w:val="18"/>
              </w:rPr>
              <w:t xml:space="preserve"> is the SCell activation delay. If the SCell is known and belongs to FR1, T</w:t>
            </w:r>
            <w:r w:rsidRPr="005666A9">
              <w:rPr>
                <w:rFonts w:ascii="Times New Roman" w:hAnsi="Times New Roman" w:cs="Times New Roman"/>
                <w:sz w:val="18"/>
                <w:szCs w:val="18"/>
                <w:vertAlign w:val="subscript"/>
              </w:rPr>
              <w:t>activation_time</w:t>
            </w:r>
            <w:r w:rsidRPr="005666A9">
              <w:rPr>
                <w:rFonts w:ascii="Times New Roman" w:hAnsi="Times New Roman" w:cs="Times New Roman"/>
                <w:sz w:val="18"/>
                <w:szCs w:val="18"/>
              </w:rPr>
              <w:t xml:space="preserve"> is:</w:t>
            </w:r>
          </w:p>
          <w:p w14:paraId="2BBC44F4" w14:textId="77777777" w:rsidR="005666A9" w:rsidRPr="005666A9" w:rsidRDefault="005666A9" w:rsidP="005666A9">
            <w:pPr>
              <w:pStyle w:val="B3"/>
              <w:rPr>
                <w:rFonts w:ascii="Times New Roman" w:eastAsia="Times New Roman" w:hAnsi="Times New Roman" w:cs="Times New Roman"/>
                <w:sz w:val="18"/>
                <w:szCs w:val="18"/>
                <w:lang w:eastAsia="ko-KR"/>
              </w:rPr>
            </w:pPr>
            <w:r w:rsidRPr="005666A9">
              <w:rPr>
                <w:rFonts w:ascii="Times New Roman" w:hAnsi="Times New Roman" w:cs="Times New Roman"/>
                <w:sz w:val="18"/>
                <w:szCs w:val="18"/>
              </w:rPr>
              <w:t>-</w:t>
            </w:r>
            <w:r w:rsidRPr="005666A9">
              <w:rPr>
                <w:rFonts w:ascii="Times New Roman" w:hAnsi="Times New Roman" w:cs="Times New Roman"/>
                <w:sz w:val="18"/>
                <w:szCs w:val="18"/>
              </w:rPr>
              <w:tab/>
              <w:t>[</w:t>
            </w:r>
            <w:r w:rsidRPr="005666A9">
              <w:rPr>
                <w:rFonts w:ascii="Times New Roman" w:eastAsia="Times New Roman" w:hAnsi="Times New Roman" w:cs="Times New Roman"/>
                <w:sz w:val="18"/>
                <w:szCs w:val="18"/>
              </w:rPr>
              <w:t>3ms</w:t>
            </w:r>
            <w:r w:rsidRPr="005666A9">
              <w:rPr>
                <w:rFonts w:ascii="Times New Roman" w:hAnsi="Times New Roman" w:cs="Times New Roman"/>
                <w:sz w:val="18"/>
                <w:szCs w:val="18"/>
              </w:rPr>
              <w:t xml:space="preserve">+ </w:t>
            </w:r>
            <w:r w:rsidRPr="005666A9">
              <w:rPr>
                <w:rFonts w:ascii="Times New Roman" w:eastAsia="Times New Roman" w:hAnsi="Times New Roman" w:cs="Times New Roman"/>
                <w:sz w:val="18"/>
                <w:szCs w:val="18"/>
              </w:rPr>
              <w:t>1</w:t>
            </w:r>
            <w:r w:rsidRPr="005666A9">
              <w:rPr>
                <w:rFonts w:ascii="Times New Roman" w:hAnsi="Times New Roman" w:cs="Times New Roman"/>
                <w:sz w:val="18"/>
                <w:szCs w:val="18"/>
              </w:rPr>
              <w:t>* T</w:t>
            </w:r>
            <w:r w:rsidRPr="005666A9">
              <w:rPr>
                <w:rFonts w:ascii="Times New Roman" w:hAnsi="Times New Roman" w:cs="Times New Roman"/>
                <w:sz w:val="18"/>
                <w:szCs w:val="18"/>
                <w:vertAlign w:val="subscript"/>
              </w:rPr>
              <w:t>SMTC_SCell</w:t>
            </w:r>
            <w:r w:rsidRPr="005666A9" w:rsidDel="00C32A38">
              <w:rPr>
                <w:rFonts w:ascii="Times New Roman" w:hAnsi="Times New Roman" w:cs="Times New Roman"/>
                <w:sz w:val="18"/>
                <w:szCs w:val="18"/>
              </w:rPr>
              <w:t xml:space="preserve"> </w:t>
            </w:r>
            <w:r w:rsidRPr="005666A9">
              <w:rPr>
                <w:rFonts w:ascii="Times New Roman" w:eastAsia="Times New Roman" w:hAnsi="Times New Roman" w:cs="Times New Roman"/>
                <w:sz w:val="18"/>
                <w:szCs w:val="18"/>
              </w:rPr>
              <w:t>+</w:t>
            </w:r>
            <w:r w:rsidRPr="005666A9">
              <w:rPr>
                <w:rFonts w:ascii="Times New Roman" w:hAnsi="Times New Roman" w:cs="Times New Roman"/>
                <w:sz w:val="18"/>
                <w:szCs w:val="18"/>
              </w:rPr>
              <w:t>2ms]</w:t>
            </w:r>
            <w:r w:rsidRPr="005666A9">
              <w:rPr>
                <w:rFonts w:ascii="Times New Roman" w:eastAsia="Times New Roman" w:hAnsi="Times New Roman" w:cs="Times New Roman"/>
                <w:sz w:val="18"/>
                <w:szCs w:val="18"/>
              </w:rPr>
              <w:t>,</w:t>
            </w:r>
            <w:r w:rsidRPr="005666A9">
              <w:rPr>
                <w:rFonts w:ascii="Times New Roman" w:hAnsi="Times New Roman" w:cs="Times New Roman"/>
                <w:sz w:val="18"/>
                <w:szCs w:val="18"/>
              </w:rPr>
              <w:t xml:space="preserve"> </w:t>
            </w:r>
            <w:r w:rsidRPr="005666A9">
              <w:rPr>
                <w:rFonts w:ascii="Times New Roman" w:eastAsia="Times New Roman" w:hAnsi="Times New Roman" w:cs="Times New Roman"/>
                <w:sz w:val="18"/>
                <w:szCs w:val="18"/>
              </w:rPr>
              <w:t xml:space="preserve">if </w:t>
            </w:r>
            <w:r w:rsidRPr="005666A9">
              <w:rPr>
                <w:rFonts w:ascii="Times New Roman" w:hAnsi="Times New Roman" w:cs="Times New Roman"/>
                <w:sz w:val="18"/>
                <w:szCs w:val="18"/>
              </w:rPr>
              <w:t>the SCell measurement cycle is equal to or smaller than [160ms].</w:t>
            </w:r>
          </w:p>
          <w:p w14:paraId="70AE2179" w14:textId="77777777" w:rsidR="005666A9" w:rsidRPr="005666A9" w:rsidRDefault="005666A9" w:rsidP="005666A9">
            <w:pPr>
              <w:pStyle w:val="B3"/>
              <w:rPr>
                <w:rFonts w:ascii="Times New Roman" w:eastAsia="Times New Roman" w:hAnsi="Times New Roman" w:cs="Times New Roman"/>
                <w:sz w:val="18"/>
                <w:szCs w:val="18"/>
                <w:lang w:eastAsia="ko-KR"/>
              </w:rPr>
            </w:pPr>
            <w:r w:rsidRPr="005666A9">
              <w:rPr>
                <w:rFonts w:ascii="Times New Roman" w:hAnsi="Times New Roman" w:cs="Times New Roman"/>
                <w:sz w:val="18"/>
                <w:szCs w:val="18"/>
              </w:rPr>
              <w:t>-</w:t>
            </w:r>
            <w:r w:rsidRPr="005666A9">
              <w:rPr>
                <w:rFonts w:ascii="Times New Roman" w:hAnsi="Times New Roman" w:cs="Times New Roman"/>
                <w:sz w:val="18"/>
                <w:szCs w:val="18"/>
              </w:rPr>
              <w:tab/>
            </w:r>
            <w:r w:rsidRPr="005666A9">
              <w:rPr>
                <w:rFonts w:ascii="Times New Roman" w:eastAsia="Times New Roman" w:hAnsi="Times New Roman" w:cs="Times New Roman"/>
                <w:sz w:val="18"/>
                <w:szCs w:val="18"/>
              </w:rPr>
              <w:t>[3ms+</w:t>
            </w:r>
            <w:r w:rsidRPr="005666A9">
              <w:rPr>
                <w:rFonts w:ascii="Times New Roman" w:hAnsi="Times New Roman" w:cs="Times New Roman"/>
                <w:sz w:val="18"/>
                <w:szCs w:val="18"/>
              </w:rPr>
              <w:t>T</w:t>
            </w:r>
            <w:r w:rsidRPr="005666A9">
              <w:rPr>
                <w:rFonts w:ascii="Times New Roman" w:hAnsi="Times New Roman" w:cs="Times New Roman"/>
                <w:sz w:val="18"/>
                <w:szCs w:val="18"/>
                <w:vertAlign w:val="subscript"/>
              </w:rPr>
              <w:t>SMTC_MAX</w:t>
            </w:r>
            <w:r w:rsidRPr="005666A9">
              <w:rPr>
                <w:rFonts w:ascii="Times New Roman" w:hAnsi="Times New Roman" w:cs="Times New Roman"/>
                <w:sz w:val="18"/>
                <w:szCs w:val="18"/>
              </w:rPr>
              <w:t>+T</w:t>
            </w:r>
            <w:r w:rsidRPr="005666A9">
              <w:rPr>
                <w:rFonts w:ascii="Times New Roman" w:hAnsi="Times New Roman" w:cs="Times New Roman"/>
                <w:sz w:val="18"/>
                <w:szCs w:val="18"/>
                <w:vertAlign w:val="subscript"/>
              </w:rPr>
              <w:t>SMTC_SCell</w:t>
            </w:r>
            <w:r w:rsidRPr="005666A9" w:rsidDel="000B0D6A">
              <w:rPr>
                <w:rFonts w:ascii="Times New Roman" w:eastAsia="Times New Roman" w:hAnsi="Times New Roman" w:cs="Times New Roman"/>
                <w:sz w:val="18"/>
                <w:szCs w:val="18"/>
              </w:rPr>
              <w:t xml:space="preserve"> </w:t>
            </w:r>
            <w:r w:rsidRPr="005666A9">
              <w:rPr>
                <w:rFonts w:ascii="Times New Roman" w:eastAsia="Times New Roman" w:hAnsi="Times New Roman" w:cs="Times New Roman"/>
                <w:sz w:val="18"/>
                <w:szCs w:val="18"/>
              </w:rPr>
              <w:t>+</w:t>
            </w:r>
            <w:r w:rsidRPr="005666A9">
              <w:rPr>
                <w:rFonts w:ascii="Times New Roman" w:hAnsi="Times New Roman" w:cs="Times New Roman"/>
                <w:sz w:val="18"/>
                <w:szCs w:val="18"/>
              </w:rPr>
              <w:t>2ms</w:t>
            </w:r>
            <w:r w:rsidRPr="005666A9">
              <w:rPr>
                <w:rFonts w:ascii="Times New Roman" w:eastAsia="Times New Roman" w:hAnsi="Times New Roman" w:cs="Times New Roman"/>
                <w:sz w:val="18"/>
                <w:szCs w:val="18"/>
              </w:rPr>
              <w:t xml:space="preserve">], if the </w:t>
            </w:r>
            <w:r w:rsidRPr="005666A9">
              <w:rPr>
                <w:rFonts w:ascii="Times New Roman" w:hAnsi="Times New Roman" w:cs="Times New Roman"/>
                <w:sz w:val="18"/>
                <w:szCs w:val="18"/>
              </w:rPr>
              <w:t xml:space="preserve">SCell measurement cycle is </w:t>
            </w:r>
            <w:r w:rsidRPr="005666A9">
              <w:rPr>
                <w:rFonts w:ascii="Times New Roman" w:eastAsia="Times New Roman" w:hAnsi="Times New Roman" w:cs="Times New Roman"/>
                <w:sz w:val="18"/>
                <w:szCs w:val="18"/>
              </w:rPr>
              <w:t>larger</w:t>
            </w:r>
            <w:r w:rsidRPr="005666A9">
              <w:rPr>
                <w:rFonts w:ascii="Times New Roman" w:hAnsi="Times New Roman" w:cs="Times New Roman"/>
                <w:sz w:val="18"/>
                <w:szCs w:val="18"/>
              </w:rPr>
              <w:t xml:space="preserve"> than [160ms]</w:t>
            </w:r>
            <w:r w:rsidRPr="005666A9">
              <w:rPr>
                <w:rFonts w:ascii="Times New Roman" w:eastAsia="Times New Roman" w:hAnsi="Times New Roman" w:cs="Times New Roman"/>
                <w:sz w:val="18"/>
                <w:szCs w:val="18"/>
              </w:rPr>
              <w:t>.</w:t>
            </w:r>
          </w:p>
          <w:p w14:paraId="6347212E" w14:textId="77777777" w:rsidR="005666A9" w:rsidRPr="005666A9" w:rsidRDefault="005666A9" w:rsidP="005666A9">
            <w:pPr>
              <w:ind w:leftChars="300" w:left="660"/>
              <w:rPr>
                <w:rFonts w:ascii="Times New Roman" w:hAnsi="Times New Roman" w:cs="Times New Roman"/>
                <w:sz w:val="18"/>
                <w:szCs w:val="18"/>
              </w:rPr>
            </w:pPr>
            <w:r w:rsidRPr="005666A9">
              <w:rPr>
                <w:rFonts w:ascii="Times New Roman" w:hAnsi="Times New Roman" w:cs="Times New Roman"/>
                <w:sz w:val="18"/>
                <w:szCs w:val="18"/>
              </w:rPr>
              <w:t>If the SCell is unknown and belongs to FR1, T</w:t>
            </w:r>
            <w:r w:rsidRPr="005666A9">
              <w:rPr>
                <w:rFonts w:ascii="Times New Roman" w:hAnsi="Times New Roman" w:cs="Times New Roman"/>
                <w:sz w:val="18"/>
                <w:szCs w:val="18"/>
                <w:vertAlign w:val="subscript"/>
              </w:rPr>
              <w:t>activation_time</w:t>
            </w:r>
            <w:r w:rsidRPr="005666A9">
              <w:rPr>
                <w:rFonts w:ascii="Times New Roman" w:hAnsi="Times New Roman" w:cs="Times New Roman"/>
                <w:sz w:val="18"/>
                <w:szCs w:val="18"/>
              </w:rPr>
              <w:t xml:space="preserve"> is:</w:t>
            </w:r>
          </w:p>
          <w:p w14:paraId="09807DA3" w14:textId="7A3042D9" w:rsidR="00EE5E2E" w:rsidRPr="0045049C" w:rsidRDefault="005666A9" w:rsidP="005666A9">
            <w:pPr>
              <w:pStyle w:val="B3"/>
              <w:rPr>
                <w:rFonts w:ascii="Tms Rmn" w:eastAsia="Times New Roman" w:hAnsi="Tms Rmn"/>
                <w:sz w:val="18"/>
                <w:lang w:eastAsia="ko-KR"/>
              </w:rPr>
            </w:pPr>
            <w:r w:rsidRPr="005666A9">
              <w:rPr>
                <w:rFonts w:ascii="Times New Roman" w:hAnsi="Times New Roman" w:cs="Times New Roman"/>
                <w:sz w:val="18"/>
                <w:szCs w:val="18"/>
              </w:rPr>
              <w:t>-</w:t>
            </w:r>
            <w:r w:rsidRPr="005666A9">
              <w:rPr>
                <w:rFonts w:ascii="Times New Roman" w:hAnsi="Times New Roman" w:cs="Times New Roman"/>
                <w:sz w:val="18"/>
                <w:szCs w:val="18"/>
              </w:rPr>
              <w:tab/>
              <w:t>[</w:t>
            </w:r>
            <w:r w:rsidRPr="005666A9">
              <w:rPr>
                <w:rFonts w:ascii="Times New Roman" w:eastAsia="Times New Roman" w:hAnsi="Times New Roman" w:cs="Times New Roman"/>
                <w:sz w:val="18"/>
                <w:szCs w:val="18"/>
              </w:rPr>
              <w:t>3ms</w:t>
            </w:r>
            <w:r w:rsidRPr="005666A9">
              <w:rPr>
                <w:rFonts w:ascii="Times New Roman" w:hAnsi="Times New Roman" w:cs="Times New Roman"/>
                <w:sz w:val="18"/>
                <w:szCs w:val="18"/>
              </w:rPr>
              <w:t>+ 2*T</w:t>
            </w:r>
            <w:r w:rsidRPr="005666A9">
              <w:rPr>
                <w:rFonts w:ascii="Times New Roman" w:hAnsi="Times New Roman" w:cs="Times New Roman"/>
                <w:sz w:val="18"/>
                <w:szCs w:val="18"/>
                <w:vertAlign w:val="subscript"/>
              </w:rPr>
              <w:t>SMTC_MAX</w:t>
            </w:r>
            <w:r w:rsidRPr="005666A9">
              <w:rPr>
                <w:rFonts w:ascii="Times New Roman" w:hAnsi="Times New Roman" w:cs="Times New Roman"/>
                <w:sz w:val="18"/>
                <w:szCs w:val="18"/>
              </w:rPr>
              <w:t>+2*T</w:t>
            </w:r>
            <w:r w:rsidRPr="005666A9">
              <w:rPr>
                <w:rFonts w:ascii="Times New Roman" w:hAnsi="Times New Roman" w:cs="Times New Roman"/>
                <w:sz w:val="18"/>
                <w:szCs w:val="18"/>
                <w:vertAlign w:val="subscript"/>
              </w:rPr>
              <w:t>SMTC_SCell</w:t>
            </w:r>
            <w:r w:rsidRPr="005666A9" w:rsidDel="000B0D6A">
              <w:rPr>
                <w:rFonts w:ascii="Times New Roman" w:eastAsia="Times New Roman" w:hAnsi="Times New Roman" w:cs="Times New Roman"/>
                <w:sz w:val="18"/>
                <w:szCs w:val="18"/>
              </w:rPr>
              <w:t xml:space="preserve"> </w:t>
            </w:r>
            <w:r w:rsidRPr="005666A9">
              <w:rPr>
                <w:rFonts w:ascii="Times New Roman" w:eastAsia="Times New Roman" w:hAnsi="Times New Roman" w:cs="Times New Roman"/>
                <w:sz w:val="18"/>
                <w:szCs w:val="18"/>
              </w:rPr>
              <w:t>+</w:t>
            </w:r>
            <w:r w:rsidRPr="005666A9">
              <w:rPr>
                <w:rFonts w:ascii="Times New Roman" w:hAnsi="Times New Roman" w:cs="Times New Roman"/>
                <w:sz w:val="18"/>
                <w:szCs w:val="18"/>
              </w:rPr>
              <w:t xml:space="preserve">2ms]  provided the SCell can be successfully detected on the first attempt. </w:t>
            </w:r>
            <w:r w:rsidR="00EE5E2E" w:rsidRPr="0045049C">
              <w:rPr>
                <w:rFonts w:ascii="Tms Rmn" w:hAnsi="Tms Rmn"/>
                <w:sz w:val="18"/>
              </w:rPr>
              <w:t xml:space="preserve"> </w:t>
            </w:r>
          </w:p>
          <w:p w14:paraId="05BB9DB7" w14:textId="1D9A3D04" w:rsidR="00EE5E2E" w:rsidRPr="0045049C" w:rsidRDefault="008612FF" w:rsidP="0045049C">
            <w:pPr>
              <w:spacing w:after="120"/>
              <w:ind w:leftChars="300" w:left="660"/>
              <w:rPr>
                <w:rFonts w:ascii="Tms Rmn" w:hAnsi="Tms Rmn"/>
                <w:sz w:val="18"/>
              </w:rPr>
            </w:pPr>
            <w:r w:rsidRPr="0045049C">
              <w:rPr>
                <w:rFonts w:ascii="Tms Rmn" w:hAnsi="Tms Rmn"/>
                <w:i/>
                <w:color w:val="FF0000"/>
                <w:sz w:val="18"/>
              </w:rPr>
              <w:t>&lt;Text omitted&gt;</w:t>
            </w:r>
          </w:p>
          <w:p w14:paraId="07FE3F7B" w14:textId="77777777" w:rsidR="005666A9" w:rsidRPr="005666A9" w:rsidRDefault="005666A9" w:rsidP="005666A9">
            <w:pPr>
              <w:rPr>
                <w:rFonts w:ascii="Times New Roman" w:hAnsi="Times New Roman" w:cs="Times New Roman"/>
                <w:sz w:val="18"/>
                <w:szCs w:val="18"/>
              </w:rPr>
            </w:pPr>
            <w:r w:rsidRPr="005666A9">
              <w:rPr>
                <w:rFonts w:ascii="Times New Roman" w:hAnsi="Times New Roman" w:cs="Times New Roman"/>
                <w:sz w:val="18"/>
                <w:szCs w:val="18"/>
              </w:rPr>
              <w:t>The interruption on PSCell or any activated SCell in SCGfor EN-DC mode specified in section 8.2 shall not occur before slot n+1+[T</w:t>
            </w:r>
            <w:r w:rsidRPr="005666A9">
              <w:rPr>
                <w:rFonts w:ascii="Times New Roman" w:hAnsi="Times New Roman" w:cs="Times New Roman"/>
                <w:sz w:val="18"/>
                <w:szCs w:val="18"/>
                <w:vertAlign w:val="subscript"/>
              </w:rPr>
              <w:t>HARQ</w:t>
            </w:r>
            <w:r w:rsidRPr="005666A9">
              <w:rPr>
                <w:rFonts w:ascii="Times New Roman" w:hAnsi="Times New Roman" w:cs="Times New Roman"/>
                <w:sz w:val="18"/>
                <w:szCs w:val="18"/>
              </w:rPr>
              <w:t xml:space="preserve">] </w:t>
            </w:r>
            <w:bookmarkStart w:id="1" w:name="OLE_LINK43"/>
            <w:r w:rsidRPr="005666A9">
              <w:rPr>
                <w:rFonts w:ascii="Times New Roman" w:hAnsi="Times New Roman" w:cs="Times New Roman"/>
                <w:sz w:val="18"/>
                <w:szCs w:val="18"/>
              </w:rPr>
              <w:t>and not occur</w:t>
            </w:r>
            <w:bookmarkEnd w:id="1"/>
            <w:r w:rsidRPr="005666A9">
              <w:rPr>
                <w:rFonts w:ascii="Times New Roman" w:hAnsi="Times New Roman" w:cs="Times New Roman"/>
                <w:sz w:val="18"/>
                <w:szCs w:val="18"/>
              </w:rPr>
              <w:t xml:space="preserve"> after slot n+1</w:t>
            </w:r>
            <w:r w:rsidRPr="005666A9">
              <w:rPr>
                <w:rFonts w:ascii="Times New Roman" w:hAnsi="Times New Roman" w:cs="Times New Roman"/>
                <w:i/>
                <w:sz w:val="18"/>
                <w:szCs w:val="18"/>
              </w:rPr>
              <w:t>+</w:t>
            </w:r>
            <w:r w:rsidRPr="005666A9">
              <w:rPr>
                <w:rFonts w:ascii="Times New Roman" w:hAnsi="Times New Roman" w:cs="Times New Roman"/>
                <w:sz w:val="18"/>
                <w:szCs w:val="18"/>
              </w:rPr>
              <w:t>[</w:t>
            </w:r>
            <w:r w:rsidRPr="005666A9">
              <w:rPr>
                <w:rFonts w:ascii="Times New Roman" w:hAnsi="Times New Roman" w:cs="Times New Roman"/>
                <w:sz w:val="18"/>
                <w:szCs w:val="18"/>
                <w:u w:val="single"/>
              </w:rPr>
              <w:t xml:space="preserve"> </w:t>
            </w:r>
            <w:r w:rsidRPr="005666A9">
              <w:rPr>
                <w:rFonts w:ascii="Times New Roman" w:hAnsi="Times New Roman" w:cs="Times New Roman"/>
                <w:sz w:val="18"/>
                <w:szCs w:val="18"/>
              </w:rPr>
              <w:t>T</w:t>
            </w:r>
            <w:r w:rsidRPr="005666A9">
              <w:rPr>
                <w:rFonts w:ascii="Times New Roman" w:hAnsi="Times New Roman" w:cs="Times New Roman"/>
                <w:sz w:val="18"/>
                <w:szCs w:val="18"/>
                <w:vertAlign w:val="subscript"/>
              </w:rPr>
              <w:t>HARQ</w:t>
            </w:r>
            <w:r w:rsidRPr="005666A9">
              <w:rPr>
                <w:rFonts w:ascii="Times New Roman" w:hAnsi="Times New Roman" w:cs="Times New Roman"/>
                <w:sz w:val="18"/>
                <w:szCs w:val="18"/>
              </w:rPr>
              <w:t xml:space="preserve"> +3ms + T</w:t>
            </w:r>
            <w:r w:rsidRPr="005666A9">
              <w:rPr>
                <w:rFonts w:ascii="Times New Roman" w:hAnsi="Times New Roman" w:cs="Times New Roman"/>
                <w:sz w:val="18"/>
                <w:szCs w:val="18"/>
                <w:vertAlign w:val="subscript"/>
              </w:rPr>
              <w:t>SSB,max</w:t>
            </w:r>
            <w:r w:rsidRPr="005666A9">
              <w:rPr>
                <w:rFonts w:ascii="Times New Roman" w:hAnsi="Times New Roman" w:cs="Times New Roman"/>
                <w:sz w:val="18"/>
                <w:szCs w:val="18"/>
                <w:lang w:eastAsia="x-none"/>
              </w:rPr>
              <w:t xml:space="preserve"> + </w:t>
            </w:r>
            <w:r w:rsidRPr="005666A9">
              <w:rPr>
                <w:rFonts w:ascii="Times New Roman" w:hAnsi="Times New Roman" w:cs="Times New Roman"/>
                <w:sz w:val="18"/>
                <w:szCs w:val="18"/>
              </w:rPr>
              <w:t>T</w:t>
            </w:r>
            <w:r w:rsidRPr="005666A9">
              <w:rPr>
                <w:rFonts w:ascii="Times New Roman" w:hAnsi="Times New Roman" w:cs="Times New Roman"/>
                <w:sz w:val="18"/>
                <w:szCs w:val="18"/>
                <w:vertAlign w:val="subscript"/>
              </w:rPr>
              <w:t>SMTC_duration</w:t>
            </w:r>
            <w:r w:rsidRPr="005666A9" w:rsidDel="00CD65D5">
              <w:rPr>
                <w:rFonts w:ascii="Times New Roman" w:hAnsi="Times New Roman" w:cs="Times New Roman"/>
                <w:sz w:val="18"/>
                <w:szCs w:val="18"/>
              </w:rPr>
              <w:t xml:space="preserve"> </w:t>
            </w:r>
            <w:r w:rsidRPr="005666A9">
              <w:rPr>
                <w:rFonts w:ascii="Times New Roman" w:hAnsi="Times New Roman" w:cs="Times New Roman"/>
                <w:sz w:val="18"/>
                <w:szCs w:val="18"/>
              </w:rPr>
              <w:t>].</w:t>
            </w:r>
          </w:p>
          <w:p w14:paraId="52C1AB54" w14:textId="555E7409" w:rsidR="005666A9" w:rsidRPr="003F631C" w:rsidRDefault="005666A9" w:rsidP="005666A9">
            <w:pPr>
              <w:spacing w:after="120"/>
              <w:rPr>
                <w:i/>
              </w:rPr>
            </w:pPr>
            <w:r w:rsidRPr="005666A9">
              <w:rPr>
                <w:rFonts w:ascii="Times New Roman" w:hAnsi="Times New Roman" w:cs="Times New Roman"/>
                <w:sz w:val="18"/>
                <w:szCs w:val="18"/>
              </w:rPr>
              <w:t>The interruption on PCell or any activated SCell in MCG for NR standalone mode specified in section 8.2 shall not occur before slot n+1+[T</w:t>
            </w:r>
            <w:r w:rsidRPr="005666A9">
              <w:rPr>
                <w:rFonts w:ascii="Times New Roman" w:hAnsi="Times New Roman" w:cs="Times New Roman"/>
                <w:sz w:val="18"/>
                <w:szCs w:val="18"/>
                <w:vertAlign w:val="subscript"/>
              </w:rPr>
              <w:t>HARQ</w:t>
            </w:r>
            <w:r w:rsidRPr="005666A9">
              <w:rPr>
                <w:rFonts w:ascii="Times New Roman" w:hAnsi="Times New Roman" w:cs="Times New Roman"/>
                <w:sz w:val="18"/>
                <w:szCs w:val="18"/>
              </w:rPr>
              <w:t>] and not occur after slot n+1+[</w:t>
            </w:r>
            <w:r w:rsidRPr="005666A9">
              <w:rPr>
                <w:rFonts w:ascii="Times New Roman" w:hAnsi="Times New Roman" w:cs="Times New Roman"/>
                <w:sz w:val="18"/>
                <w:szCs w:val="18"/>
                <w:u w:val="single"/>
              </w:rPr>
              <w:t xml:space="preserve"> </w:t>
            </w:r>
            <w:r w:rsidRPr="005666A9">
              <w:rPr>
                <w:rFonts w:ascii="Times New Roman" w:hAnsi="Times New Roman" w:cs="Times New Roman"/>
                <w:sz w:val="18"/>
                <w:szCs w:val="18"/>
              </w:rPr>
              <w:t>T</w:t>
            </w:r>
            <w:r w:rsidRPr="005666A9">
              <w:rPr>
                <w:rFonts w:ascii="Times New Roman" w:hAnsi="Times New Roman" w:cs="Times New Roman"/>
                <w:sz w:val="18"/>
                <w:szCs w:val="18"/>
                <w:vertAlign w:val="subscript"/>
              </w:rPr>
              <w:t>HARQ</w:t>
            </w:r>
            <w:r w:rsidRPr="005666A9">
              <w:rPr>
                <w:rFonts w:ascii="Times New Roman" w:hAnsi="Times New Roman" w:cs="Times New Roman"/>
                <w:sz w:val="18"/>
                <w:szCs w:val="18"/>
              </w:rPr>
              <w:t xml:space="preserve"> +3ms</w:t>
            </w:r>
            <w:r w:rsidRPr="005666A9" w:rsidDel="00CD65D5">
              <w:rPr>
                <w:rFonts w:ascii="Times New Roman" w:hAnsi="Times New Roman" w:cs="Times New Roman"/>
                <w:sz w:val="18"/>
                <w:szCs w:val="18"/>
              </w:rPr>
              <w:t xml:space="preserve"> </w:t>
            </w:r>
            <w:r w:rsidRPr="005666A9">
              <w:rPr>
                <w:rFonts w:ascii="Times New Roman" w:hAnsi="Times New Roman" w:cs="Times New Roman"/>
                <w:sz w:val="18"/>
                <w:szCs w:val="18"/>
              </w:rPr>
              <w:t>+ T</w:t>
            </w:r>
            <w:r w:rsidRPr="005666A9">
              <w:rPr>
                <w:rFonts w:ascii="Times New Roman" w:hAnsi="Times New Roman" w:cs="Times New Roman"/>
                <w:sz w:val="18"/>
                <w:szCs w:val="18"/>
                <w:vertAlign w:val="subscript"/>
              </w:rPr>
              <w:t>SSB,max</w:t>
            </w:r>
            <w:r w:rsidRPr="005666A9">
              <w:rPr>
                <w:rFonts w:ascii="Times New Roman" w:hAnsi="Times New Roman" w:cs="Times New Roman"/>
                <w:sz w:val="18"/>
                <w:szCs w:val="18"/>
                <w:lang w:eastAsia="x-none"/>
              </w:rPr>
              <w:t xml:space="preserve"> + </w:t>
            </w:r>
            <w:r w:rsidRPr="005666A9">
              <w:rPr>
                <w:rFonts w:ascii="Times New Roman" w:hAnsi="Times New Roman" w:cs="Times New Roman"/>
                <w:sz w:val="18"/>
                <w:szCs w:val="18"/>
              </w:rPr>
              <w:t>T</w:t>
            </w:r>
            <w:r w:rsidRPr="005666A9">
              <w:rPr>
                <w:rFonts w:ascii="Times New Roman" w:hAnsi="Times New Roman" w:cs="Times New Roman"/>
                <w:sz w:val="18"/>
                <w:szCs w:val="18"/>
                <w:vertAlign w:val="subscript"/>
              </w:rPr>
              <w:t>SMTC_duration</w:t>
            </w:r>
            <w:r w:rsidRPr="005666A9">
              <w:rPr>
                <w:rFonts w:ascii="Times New Roman" w:hAnsi="Times New Roman" w:cs="Times New Roman"/>
                <w:sz w:val="18"/>
                <w:szCs w:val="18"/>
              </w:rPr>
              <w:t>].</w:t>
            </w:r>
          </w:p>
        </w:tc>
      </w:tr>
    </w:tbl>
    <w:p w14:paraId="0A9D1160" w14:textId="15B1B8D1" w:rsidR="004D2576" w:rsidRDefault="00CD356A" w:rsidP="003F631C">
      <w:pPr>
        <w:spacing w:before="120"/>
        <w:ind w:right="74"/>
        <w:jc w:val="both"/>
      </w:pPr>
      <w:r>
        <w:t xml:space="preserve">In this paper, we </w:t>
      </w:r>
      <w:r w:rsidR="00755FEF">
        <w:t>will</w:t>
      </w:r>
      <w:r w:rsidR="002927DE">
        <w:t xml:space="preserve"> </w:t>
      </w:r>
      <w:r w:rsidR="005666A9">
        <w:t xml:space="preserve">further </w:t>
      </w:r>
      <w:r>
        <w:t xml:space="preserve">discuss </w:t>
      </w:r>
      <w:r w:rsidR="005666A9">
        <w:t>UE and network behavior for</w:t>
      </w:r>
      <w:r w:rsidR="00EE5E2E">
        <w:t xml:space="preserve"> SCell activation delay and Interruption</w:t>
      </w:r>
      <w:r w:rsidR="0016083F">
        <w:t xml:space="preserve"> in intra-band scenario</w:t>
      </w:r>
      <w:r>
        <w:t>.</w:t>
      </w:r>
      <w:r w:rsidR="00297FD6">
        <w:t xml:space="preserve"> </w:t>
      </w:r>
    </w:p>
    <w:p w14:paraId="3BCFA696" w14:textId="5E0BD742" w:rsidR="00E60BD6" w:rsidRDefault="00E60BD6" w:rsidP="00F85ED0">
      <w:pPr>
        <w:pStyle w:val="1"/>
        <w:numPr>
          <w:ilvl w:val="0"/>
          <w:numId w:val="2"/>
        </w:numPr>
      </w:pPr>
      <w:r>
        <w:t>Discussion</w:t>
      </w:r>
    </w:p>
    <w:p w14:paraId="130A5F6D" w14:textId="4B2E5AAC" w:rsidR="007C6CA3" w:rsidRDefault="00EE5E2E" w:rsidP="001A2FC1">
      <w:pPr>
        <w:jc w:val="both"/>
        <w:rPr>
          <w:lang w:val="en-GB" w:eastAsia="en-US"/>
        </w:rPr>
      </w:pPr>
      <w:r>
        <w:rPr>
          <w:lang w:val="en-GB" w:eastAsia="en-US"/>
        </w:rPr>
        <w:t xml:space="preserve">For SCell activation, the UE </w:t>
      </w:r>
      <w:r w:rsidR="00A6079D">
        <w:rPr>
          <w:lang w:val="en-GB" w:eastAsia="en-US"/>
        </w:rPr>
        <w:t xml:space="preserve">has </w:t>
      </w:r>
      <w:r w:rsidR="00A02D44">
        <w:rPr>
          <w:lang w:val="en-GB" w:eastAsia="en-US"/>
        </w:rPr>
        <w:t>at least one</w:t>
      </w:r>
      <w:r w:rsidR="00A6079D">
        <w:rPr>
          <w:lang w:val="en-GB" w:eastAsia="en-US"/>
        </w:rPr>
        <w:t xml:space="preserve"> active NR serving cell (e.g., the PSCell in EN-DC, the PCell in SA or any other SCell) </w:t>
      </w:r>
      <w:r>
        <w:rPr>
          <w:lang w:val="en-GB" w:eastAsia="en-US"/>
        </w:rPr>
        <w:t>and at least one deactivated SCell</w:t>
      </w:r>
      <w:r w:rsidR="0030579E">
        <w:rPr>
          <w:lang w:val="en-GB" w:eastAsia="en-US"/>
        </w:rPr>
        <w:t>.</w:t>
      </w:r>
      <w:r w:rsidR="0016083F">
        <w:rPr>
          <w:lang w:val="en-GB" w:eastAsia="en-US"/>
        </w:rPr>
        <w:t xml:space="preserve"> </w:t>
      </w:r>
      <w:r w:rsidR="0030579E">
        <w:rPr>
          <w:lang w:val="en-GB" w:eastAsia="en-US"/>
        </w:rPr>
        <w:t xml:space="preserve">Both </w:t>
      </w:r>
      <w:r w:rsidR="0016083F">
        <w:rPr>
          <w:lang w:val="en-GB" w:eastAsia="en-US"/>
        </w:rPr>
        <w:t>have their own SMTCs</w:t>
      </w:r>
      <w:r>
        <w:rPr>
          <w:lang w:val="en-GB" w:eastAsia="en-US"/>
        </w:rPr>
        <w:t xml:space="preserve">. </w:t>
      </w:r>
      <w:r w:rsidR="00A10387">
        <w:rPr>
          <w:lang w:val="en-GB" w:eastAsia="en-US"/>
        </w:rPr>
        <w:t>In the following sections</w:t>
      </w:r>
      <w:r w:rsidR="004A0A16">
        <w:rPr>
          <w:lang w:val="en-GB" w:eastAsia="en-US"/>
        </w:rPr>
        <w:t xml:space="preserve">, we </w:t>
      </w:r>
      <w:r w:rsidR="0039432F">
        <w:rPr>
          <w:lang w:val="en-GB" w:eastAsia="en-US"/>
        </w:rPr>
        <w:t>assume one</w:t>
      </w:r>
      <w:r w:rsidR="004A0A16">
        <w:rPr>
          <w:lang w:val="en-GB" w:eastAsia="en-US"/>
        </w:rPr>
        <w:t xml:space="preserve"> PSCell</w:t>
      </w:r>
      <w:r w:rsidR="0016083F">
        <w:rPr>
          <w:lang w:val="en-GB" w:eastAsia="en-US"/>
        </w:rPr>
        <w:t>(Cell #1)</w:t>
      </w:r>
      <w:r w:rsidR="004A0A16">
        <w:rPr>
          <w:lang w:val="en-GB" w:eastAsia="en-US"/>
        </w:rPr>
        <w:t xml:space="preserve"> and one SCell </w:t>
      </w:r>
      <w:r w:rsidR="0016083F">
        <w:rPr>
          <w:lang w:val="en-GB" w:eastAsia="en-US"/>
        </w:rPr>
        <w:t xml:space="preserve">being activated(Cell #2) </w:t>
      </w:r>
      <w:r w:rsidR="00ED4502">
        <w:rPr>
          <w:lang w:val="en-GB" w:eastAsia="en-US"/>
        </w:rPr>
        <w:t xml:space="preserve">under intra-band EN-DC. </w:t>
      </w:r>
      <w:r w:rsidR="007C6CA3">
        <w:rPr>
          <w:lang w:val="en-GB" w:eastAsia="en-US"/>
        </w:rPr>
        <w:t xml:space="preserve">It’s </w:t>
      </w:r>
      <w:r w:rsidR="004A0A16">
        <w:rPr>
          <w:lang w:val="en-GB" w:eastAsia="en-US"/>
        </w:rPr>
        <w:t xml:space="preserve">easy to </w:t>
      </w:r>
      <w:r w:rsidR="007C6CA3">
        <w:rPr>
          <w:lang w:val="en-GB" w:eastAsia="en-US"/>
        </w:rPr>
        <w:t>replace the PSCell to other serving cells such as PCell in SA or other SCell in EN-DC</w:t>
      </w:r>
      <w:r w:rsidR="00B24F16">
        <w:rPr>
          <w:lang w:val="en-GB" w:eastAsia="en-US"/>
        </w:rPr>
        <w:t xml:space="preserve"> or SA.</w:t>
      </w:r>
      <w:r w:rsidR="007C6CA3">
        <w:rPr>
          <w:lang w:val="en-GB" w:eastAsia="en-US"/>
        </w:rPr>
        <w:t xml:space="preserve"> </w:t>
      </w:r>
    </w:p>
    <w:p w14:paraId="66101AA6" w14:textId="074DD4B3" w:rsidR="001A440B" w:rsidRDefault="00E31659" w:rsidP="004A0A16">
      <w:pPr>
        <w:jc w:val="both"/>
        <w:rPr>
          <w:lang w:val="en-GB" w:eastAsia="en-US"/>
        </w:rPr>
      </w:pPr>
      <w:r>
        <w:rPr>
          <w:lang w:val="en-GB" w:eastAsia="en-US"/>
        </w:rPr>
        <w:t>Let’s consider</w:t>
      </w:r>
      <w:r w:rsidR="00E64634">
        <w:rPr>
          <w:lang w:val="en-GB" w:eastAsia="en-US"/>
        </w:rPr>
        <w:t xml:space="preserve"> </w:t>
      </w:r>
      <w:r w:rsidR="00A42B84">
        <w:rPr>
          <w:lang w:val="en-GB" w:eastAsia="en-US"/>
        </w:rPr>
        <w:t xml:space="preserve">the scenario with </w:t>
      </w:r>
      <w:r w:rsidR="001A440B">
        <w:rPr>
          <w:lang w:val="en-GB" w:eastAsia="en-US"/>
        </w:rPr>
        <w:t>different SMTC durations between PSCell</w:t>
      </w:r>
      <w:r w:rsidR="00E64634">
        <w:rPr>
          <w:lang w:val="en-GB" w:eastAsia="en-US"/>
        </w:rPr>
        <w:t xml:space="preserve"> </w:t>
      </w:r>
      <w:r w:rsidR="0016083F">
        <w:rPr>
          <w:lang w:val="en-GB" w:eastAsia="en-US"/>
        </w:rPr>
        <w:t xml:space="preserve">(Cell #1) </w:t>
      </w:r>
      <w:r w:rsidR="001A440B">
        <w:rPr>
          <w:lang w:val="en-GB" w:eastAsia="en-US"/>
        </w:rPr>
        <w:t>and the SCell</w:t>
      </w:r>
      <w:r w:rsidR="0016083F">
        <w:rPr>
          <w:lang w:val="en-GB" w:eastAsia="en-US"/>
        </w:rPr>
        <w:t xml:space="preserve">(Cell #2) </w:t>
      </w:r>
      <w:r w:rsidR="001A440B">
        <w:rPr>
          <w:lang w:val="en-GB" w:eastAsia="en-US"/>
        </w:rPr>
        <w:t>be</w:t>
      </w:r>
      <w:r w:rsidR="0016083F">
        <w:rPr>
          <w:lang w:val="en-GB" w:eastAsia="en-US"/>
        </w:rPr>
        <w:t>ing</w:t>
      </w:r>
      <w:r w:rsidR="001A440B">
        <w:rPr>
          <w:lang w:val="en-GB" w:eastAsia="en-US"/>
        </w:rPr>
        <w:t xml:space="preserve"> activated. </w:t>
      </w:r>
    </w:p>
    <w:p w14:paraId="2958D2F2" w14:textId="06D96C0D" w:rsidR="001A440B" w:rsidRDefault="002C153B" w:rsidP="004A0A16">
      <w:pPr>
        <w:jc w:val="both"/>
        <w:rPr>
          <w:lang w:val="en-GB" w:eastAsia="en-US"/>
        </w:rPr>
      </w:pPr>
      <w:r>
        <w:rPr>
          <w:lang w:val="en-GB" w:eastAsia="en-US"/>
        </w:rPr>
        <w:t>It was agreed in MRTD requirement</w:t>
      </w:r>
      <w:r w:rsidR="001A440B">
        <w:rPr>
          <w:lang w:val="en-GB" w:eastAsia="en-US"/>
        </w:rPr>
        <w:t xml:space="preserve"> that intra-band EN-DC is for co-located scenario only</w:t>
      </w:r>
      <w:r w:rsidR="00A10387">
        <w:rPr>
          <w:lang w:val="en-GB" w:eastAsia="en-US"/>
        </w:rPr>
        <w:t>. I</w:t>
      </w:r>
      <w:r w:rsidR="001A440B">
        <w:rPr>
          <w:lang w:val="en-GB" w:eastAsia="en-US"/>
        </w:rPr>
        <w:t xml:space="preserve">f network </w:t>
      </w:r>
      <w:r w:rsidR="005D44F5">
        <w:rPr>
          <w:lang w:val="en-GB" w:eastAsia="en-US"/>
        </w:rPr>
        <w:t>allows</w:t>
      </w:r>
      <w:r w:rsidR="001A440B">
        <w:rPr>
          <w:lang w:val="en-GB" w:eastAsia="en-US"/>
        </w:rPr>
        <w:t xml:space="preserve"> </w:t>
      </w:r>
      <w:r w:rsidR="0016083F">
        <w:rPr>
          <w:lang w:val="en-GB" w:eastAsia="en-US"/>
        </w:rPr>
        <w:t xml:space="preserve">Cell #1 </w:t>
      </w:r>
      <w:r w:rsidR="001A440B">
        <w:rPr>
          <w:lang w:val="en-GB" w:eastAsia="en-US"/>
        </w:rPr>
        <w:t xml:space="preserve">and </w:t>
      </w:r>
      <w:r w:rsidR="0016083F">
        <w:rPr>
          <w:lang w:val="en-GB" w:eastAsia="en-US"/>
        </w:rPr>
        <w:t xml:space="preserve">Cell #2 </w:t>
      </w:r>
      <w:r w:rsidR="005D44F5">
        <w:rPr>
          <w:lang w:val="en-GB" w:eastAsia="en-US"/>
        </w:rPr>
        <w:t>to transmit different Tx beam</w:t>
      </w:r>
      <w:r w:rsidR="00984918">
        <w:rPr>
          <w:lang w:val="en-GB" w:eastAsia="en-US"/>
        </w:rPr>
        <w:t>s</w:t>
      </w:r>
      <w:r w:rsidR="005D44F5">
        <w:rPr>
          <w:lang w:val="en-GB" w:eastAsia="en-US"/>
        </w:rPr>
        <w:t xml:space="preserve"> at a given slot</w:t>
      </w:r>
      <w:r w:rsidR="001A440B">
        <w:rPr>
          <w:lang w:val="en-GB" w:eastAsia="en-US"/>
        </w:rPr>
        <w:t xml:space="preserve">, the UE’s AGC re-tuning will </w:t>
      </w:r>
      <w:r w:rsidR="00A10387">
        <w:rPr>
          <w:lang w:val="en-GB" w:eastAsia="en-US"/>
        </w:rPr>
        <w:t xml:space="preserve">still </w:t>
      </w:r>
      <w:r w:rsidR="001A440B">
        <w:rPr>
          <w:lang w:val="en-GB" w:eastAsia="en-US"/>
        </w:rPr>
        <w:t xml:space="preserve">face big challenge even </w:t>
      </w:r>
      <w:r w:rsidR="00A10387">
        <w:rPr>
          <w:lang w:val="en-GB" w:eastAsia="en-US"/>
        </w:rPr>
        <w:t xml:space="preserve">when </w:t>
      </w:r>
      <w:r w:rsidR="005D44F5">
        <w:rPr>
          <w:lang w:val="en-GB" w:eastAsia="en-US"/>
        </w:rPr>
        <w:t xml:space="preserve">the SSB of </w:t>
      </w:r>
      <w:r w:rsidR="0016083F">
        <w:rPr>
          <w:lang w:val="en-GB" w:eastAsia="en-US"/>
        </w:rPr>
        <w:t xml:space="preserve">Cell #1 </w:t>
      </w:r>
      <w:r w:rsidR="001A440B">
        <w:rPr>
          <w:lang w:val="en-GB" w:eastAsia="en-US"/>
        </w:rPr>
        <w:t xml:space="preserve">and </w:t>
      </w:r>
      <w:r w:rsidR="0016083F">
        <w:rPr>
          <w:lang w:val="en-GB" w:eastAsia="en-US"/>
        </w:rPr>
        <w:t xml:space="preserve">Cell #2 </w:t>
      </w:r>
      <w:r w:rsidR="005D44F5">
        <w:rPr>
          <w:lang w:val="en-GB" w:eastAsia="en-US"/>
        </w:rPr>
        <w:t xml:space="preserve">are </w:t>
      </w:r>
      <w:r w:rsidR="00984918">
        <w:rPr>
          <w:lang w:val="en-GB" w:eastAsia="en-US"/>
        </w:rPr>
        <w:t xml:space="preserve">well </w:t>
      </w:r>
      <w:r w:rsidR="00665013">
        <w:rPr>
          <w:lang w:val="en-GB" w:eastAsia="en-US"/>
        </w:rPr>
        <w:t xml:space="preserve">collided </w:t>
      </w:r>
      <w:r w:rsidR="00984918">
        <w:rPr>
          <w:lang w:val="en-GB" w:eastAsia="en-US"/>
        </w:rPr>
        <w:t>in time</w:t>
      </w:r>
      <w:r w:rsidR="001A440B">
        <w:rPr>
          <w:lang w:val="en-GB" w:eastAsia="en-US"/>
        </w:rPr>
        <w:t xml:space="preserve">. Considering one scenario below, </w:t>
      </w:r>
      <w:r w:rsidR="0016083F">
        <w:rPr>
          <w:lang w:val="en-GB" w:eastAsia="en-US"/>
        </w:rPr>
        <w:t>Cell #1</w:t>
      </w:r>
      <w:r w:rsidR="001A440B">
        <w:rPr>
          <w:lang w:val="en-GB" w:eastAsia="en-US"/>
        </w:rPr>
        <w:t xml:space="preserve"> has 4 Tx beams. </w:t>
      </w:r>
      <w:r w:rsidR="001C42DB">
        <w:rPr>
          <w:lang w:val="en-GB" w:eastAsia="en-US"/>
        </w:rPr>
        <w:t xml:space="preserve">UE detects Tx </w:t>
      </w:r>
      <w:r w:rsidR="001A440B">
        <w:rPr>
          <w:lang w:val="en-GB" w:eastAsia="en-US"/>
        </w:rPr>
        <w:t>beam #2</w:t>
      </w:r>
      <w:r w:rsidR="001C42DB">
        <w:rPr>
          <w:lang w:val="en-GB" w:eastAsia="en-US"/>
        </w:rPr>
        <w:t xml:space="preserve"> as the best Tx beam</w:t>
      </w:r>
      <w:r w:rsidR="001A440B">
        <w:rPr>
          <w:lang w:val="en-GB" w:eastAsia="en-US"/>
        </w:rPr>
        <w:t xml:space="preserve">, and </w:t>
      </w:r>
      <w:r w:rsidR="001C42DB">
        <w:rPr>
          <w:lang w:val="en-GB" w:eastAsia="en-US"/>
        </w:rPr>
        <w:t xml:space="preserve">detect nothing on Tx beam #1, i.e., </w:t>
      </w:r>
      <w:r w:rsidR="001A440B">
        <w:rPr>
          <w:lang w:val="en-GB" w:eastAsia="en-US"/>
        </w:rPr>
        <w:t>the worst beam</w:t>
      </w:r>
      <w:r w:rsidR="00E64634">
        <w:rPr>
          <w:lang w:val="en-GB" w:eastAsia="en-US"/>
        </w:rPr>
        <w:t xml:space="preserve"> </w:t>
      </w:r>
      <w:r w:rsidR="00A10387">
        <w:rPr>
          <w:lang w:val="en-GB" w:eastAsia="en-US"/>
        </w:rPr>
        <w:t>(NULL beam)</w:t>
      </w:r>
      <w:r w:rsidR="001A440B">
        <w:rPr>
          <w:lang w:val="en-GB" w:eastAsia="en-US"/>
        </w:rPr>
        <w:t xml:space="preserve">. </w:t>
      </w:r>
      <w:r w:rsidR="005D44F5">
        <w:rPr>
          <w:lang w:val="en-GB" w:eastAsia="en-US"/>
        </w:rPr>
        <w:t>And Cell#2</w:t>
      </w:r>
      <w:r w:rsidR="001A440B">
        <w:rPr>
          <w:lang w:val="en-GB" w:eastAsia="en-US"/>
        </w:rPr>
        <w:t xml:space="preserve"> has 2 Tx beams. The best Tx beam coincidently is beam #1. The </w:t>
      </w:r>
      <w:r w:rsidR="005D44F5">
        <w:rPr>
          <w:lang w:val="en-GB" w:eastAsia="en-US"/>
        </w:rPr>
        <w:t>receiving power of Cell#1</w:t>
      </w:r>
      <w:r w:rsidR="0016083F">
        <w:rPr>
          <w:lang w:val="en-GB" w:eastAsia="en-US"/>
        </w:rPr>
        <w:t>’s</w:t>
      </w:r>
      <w:r w:rsidR="005D44F5">
        <w:rPr>
          <w:lang w:val="en-GB" w:eastAsia="en-US"/>
        </w:rPr>
        <w:t xml:space="preserve"> </w:t>
      </w:r>
      <w:r w:rsidR="001A440B">
        <w:rPr>
          <w:lang w:val="en-GB" w:eastAsia="en-US"/>
        </w:rPr>
        <w:t xml:space="preserve">best beam is a little bit higher than </w:t>
      </w:r>
      <w:r w:rsidR="005D44F5">
        <w:rPr>
          <w:lang w:val="en-GB" w:eastAsia="en-US"/>
        </w:rPr>
        <w:t>the best from Cell#2</w:t>
      </w:r>
      <w:r w:rsidR="001A440B">
        <w:rPr>
          <w:lang w:val="en-GB" w:eastAsia="en-US"/>
        </w:rPr>
        <w:t xml:space="preserve">. </w:t>
      </w:r>
      <w:r w:rsidR="00E64634">
        <w:rPr>
          <w:lang w:val="en-GB" w:eastAsia="en-US"/>
        </w:rPr>
        <w:t xml:space="preserve">This is shown in </w:t>
      </w:r>
      <w:r w:rsidR="00E64634" w:rsidRPr="00E64634">
        <w:rPr>
          <w:lang w:val="en-GB" w:eastAsia="en-US"/>
        </w:rPr>
        <w:fldChar w:fldCharType="begin"/>
      </w:r>
      <w:r w:rsidR="00E64634" w:rsidRPr="00E64634">
        <w:rPr>
          <w:lang w:val="en-GB" w:eastAsia="en-US"/>
        </w:rPr>
        <w:instrText xml:space="preserve"> REF _Ref521573800 \h  \* MERGEFORMAT </w:instrText>
      </w:r>
      <w:r w:rsidR="00E64634" w:rsidRPr="00E64634">
        <w:rPr>
          <w:lang w:val="en-GB" w:eastAsia="en-US"/>
        </w:rPr>
      </w:r>
      <w:r w:rsidR="00E64634" w:rsidRPr="00E64634">
        <w:rPr>
          <w:lang w:val="en-GB" w:eastAsia="en-US"/>
        </w:rPr>
        <w:fldChar w:fldCharType="separate"/>
      </w:r>
      <w:r w:rsidR="00CB08BF" w:rsidRPr="00CB08BF">
        <w:rPr>
          <w:lang w:val="x-none" w:eastAsia="x-none"/>
        </w:rPr>
        <w:t xml:space="preserve">Figure </w:t>
      </w:r>
      <w:r w:rsidR="00CB08BF" w:rsidRPr="00CB08BF">
        <w:rPr>
          <w:noProof/>
          <w:lang w:val="x-none" w:eastAsia="x-none"/>
        </w:rPr>
        <w:t>1</w:t>
      </w:r>
      <w:r w:rsidR="00E64634" w:rsidRPr="00E64634">
        <w:rPr>
          <w:lang w:val="en-GB" w:eastAsia="en-US"/>
        </w:rPr>
        <w:fldChar w:fldCharType="end"/>
      </w:r>
      <w:r w:rsidR="00E64634">
        <w:rPr>
          <w:lang w:val="en-GB" w:eastAsia="en-US"/>
        </w:rPr>
        <w:t xml:space="preserve"> below.</w:t>
      </w:r>
    </w:p>
    <w:p w14:paraId="5B6E8607" w14:textId="630B8926" w:rsidR="00A91BB1" w:rsidRDefault="005666A9" w:rsidP="00A91BB1">
      <w:pPr>
        <w:jc w:val="center"/>
        <w:rPr>
          <w:lang w:val="en-GB" w:eastAsia="en-US"/>
        </w:rPr>
      </w:pPr>
      <w:r>
        <w:object w:dxaOrig="9435" w:dyaOrig="7440" w14:anchorId="473AB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287.4pt" o:ole="">
            <v:imagedata r:id="rId8" o:title=""/>
          </v:shape>
          <o:OLEObject Type="Embed" ProgID="Visio.Drawing.15" ShapeID="_x0000_i1025" DrawAspect="Content" ObjectID="_1599655173" r:id="rId9"/>
        </w:object>
      </w:r>
    </w:p>
    <w:p w14:paraId="06979DBD" w14:textId="300C6CC5" w:rsidR="005C76B3" w:rsidRPr="00E64634" w:rsidRDefault="00E64634" w:rsidP="005C76B3">
      <w:pPr>
        <w:jc w:val="center"/>
        <w:rPr>
          <w:lang w:eastAsia="en-US"/>
        </w:rPr>
      </w:pPr>
      <w:bookmarkStart w:id="2" w:name="_Ref521573800"/>
      <w:r w:rsidRPr="00E64634">
        <w:rPr>
          <w:b/>
          <w:sz w:val="20"/>
          <w:szCs w:val="20"/>
          <w:lang w:val="x-none" w:eastAsia="x-none"/>
        </w:rPr>
        <w:t xml:space="preserve">Figure </w:t>
      </w:r>
      <w:r w:rsidRPr="00E64634">
        <w:rPr>
          <w:b/>
          <w:sz w:val="20"/>
          <w:szCs w:val="20"/>
          <w:lang w:val="x-none" w:eastAsia="x-none"/>
        </w:rPr>
        <w:fldChar w:fldCharType="begin"/>
      </w:r>
      <w:r w:rsidRPr="00E64634">
        <w:rPr>
          <w:b/>
          <w:sz w:val="20"/>
          <w:szCs w:val="20"/>
          <w:lang w:val="x-none" w:eastAsia="x-none"/>
        </w:rPr>
        <w:instrText xml:space="preserve"> SEQ Figure \* ARABIC </w:instrText>
      </w:r>
      <w:r w:rsidRPr="00E64634">
        <w:rPr>
          <w:b/>
          <w:sz w:val="20"/>
          <w:szCs w:val="20"/>
          <w:lang w:val="x-none" w:eastAsia="x-none"/>
        </w:rPr>
        <w:fldChar w:fldCharType="separate"/>
      </w:r>
      <w:r w:rsidR="00CB08BF">
        <w:rPr>
          <w:b/>
          <w:noProof/>
          <w:sz w:val="20"/>
          <w:szCs w:val="20"/>
          <w:lang w:val="x-none" w:eastAsia="x-none"/>
        </w:rPr>
        <w:t>1</w:t>
      </w:r>
      <w:r w:rsidRPr="00E64634">
        <w:rPr>
          <w:b/>
          <w:sz w:val="20"/>
          <w:szCs w:val="20"/>
          <w:lang w:val="x-none" w:eastAsia="x-none"/>
        </w:rPr>
        <w:fldChar w:fldCharType="end"/>
      </w:r>
      <w:bookmarkEnd w:id="2"/>
      <w:r w:rsidRPr="00E64634">
        <w:rPr>
          <w:b/>
          <w:sz w:val="20"/>
          <w:szCs w:val="20"/>
          <w:lang w:val="x-none" w:eastAsia="x-none"/>
        </w:rPr>
        <w:t xml:space="preserve">. The </w:t>
      </w:r>
      <w:r>
        <w:rPr>
          <w:b/>
          <w:sz w:val="20"/>
          <w:szCs w:val="20"/>
          <w:lang w:eastAsia="x-none"/>
        </w:rPr>
        <w:t xml:space="preserve">relationship between total received power and different Tx beam directions in intra-band PSCell and SCell </w:t>
      </w:r>
    </w:p>
    <w:p w14:paraId="0F5D3807" w14:textId="51BF578D" w:rsidR="00F338F7" w:rsidRDefault="00F338F7" w:rsidP="001A440B">
      <w:pPr>
        <w:jc w:val="both"/>
        <w:rPr>
          <w:lang w:val="en-GB" w:eastAsia="en-US"/>
        </w:rPr>
      </w:pPr>
      <w:r>
        <w:rPr>
          <w:lang w:val="en-GB" w:eastAsia="en-US"/>
        </w:rPr>
        <w:t>At first, in AGC re-tuning stage, UE will have no idea about the best beam of Cell #2. If UE re-tunes the AGC based on the power of SSB#2</w:t>
      </w:r>
      <w:r w:rsidR="00EE4BC6">
        <w:rPr>
          <w:lang w:val="en-GB" w:eastAsia="en-US"/>
        </w:rPr>
        <w:t xml:space="preserve"> in the figure</w:t>
      </w:r>
      <w:r>
        <w:rPr>
          <w:lang w:val="en-GB" w:eastAsia="en-US"/>
        </w:rPr>
        <w:t xml:space="preserve">, UE will face problem in data receiving stage when both cells transmit the data through their best beams to UE at the same time. Furthermore, in FR2, if </w:t>
      </w:r>
      <w:r w:rsidR="00B962A1">
        <w:rPr>
          <w:lang w:val="en-GB" w:eastAsia="en-US"/>
        </w:rPr>
        <w:t xml:space="preserve">the best Rx beam toward </w:t>
      </w:r>
      <w:r>
        <w:rPr>
          <w:lang w:val="en-GB" w:eastAsia="en-US"/>
        </w:rPr>
        <w:t xml:space="preserve">Cell #1 and </w:t>
      </w:r>
      <w:r w:rsidR="00B962A1">
        <w:rPr>
          <w:lang w:val="en-GB" w:eastAsia="en-US"/>
        </w:rPr>
        <w:t xml:space="preserve">the best Rx beam toward </w:t>
      </w:r>
      <w:r>
        <w:rPr>
          <w:lang w:val="en-GB" w:eastAsia="en-US"/>
        </w:rPr>
        <w:t xml:space="preserve">Cell #2 are different, UE may </w:t>
      </w:r>
      <w:r w:rsidR="00076558">
        <w:rPr>
          <w:lang w:val="en-GB" w:eastAsia="en-US"/>
        </w:rPr>
        <w:t xml:space="preserve">make </w:t>
      </w:r>
      <w:r>
        <w:rPr>
          <w:lang w:val="en-GB" w:eastAsia="en-US"/>
        </w:rPr>
        <w:t xml:space="preserve">a wrong </w:t>
      </w:r>
      <w:r w:rsidR="00076558">
        <w:rPr>
          <w:lang w:val="en-GB" w:eastAsia="en-US"/>
        </w:rPr>
        <w:t xml:space="preserve">decision </w:t>
      </w:r>
      <w:r>
        <w:rPr>
          <w:lang w:val="en-GB" w:eastAsia="en-US"/>
        </w:rPr>
        <w:t>for Rx beam</w:t>
      </w:r>
      <w:r w:rsidR="00B97EDE">
        <w:rPr>
          <w:lang w:val="en-GB" w:eastAsia="en-US"/>
        </w:rPr>
        <w:t xml:space="preserve"> to be used for Cell #2</w:t>
      </w:r>
      <w:r>
        <w:rPr>
          <w:lang w:val="en-GB" w:eastAsia="en-US"/>
        </w:rPr>
        <w:t>.</w:t>
      </w:r>
      <w:r w:rsidR="003F4E46">
        <w:rPr>
          <w:lang w:val="en-GB" w:eastAsia="en-US"/>
        </w:rPr>
        <w:t xml:space="preserve"> This may further degrade UE’s decoding performance on Cell #2.</w:t>
      </w:r>
    </w:p>
    <w:p w14:paraId="342CB00D" w14:textId="0C28DE3C" w:rsidR="001A440B" w:rsidRPr="00192F0D" w:rsidRDefault="001A440B" w:rsidP="005666A9">
      <w:pPr>
        <w:pStyle w:val="af0"/>
        <w:jc w:val="both"/>
        <w:rPr>
          <w:i/>
          <w:sz w:val="22"/>
        </w:rPr>
      </w:pPr>
      <w:bookmarkStart w:id="3" w:name="_Ref521145602"/>
      <w:r w:rsidRPr="00192F0D">
        <w:rPr>
          <w:i/>
          <w:sz w:val="22"/>
        </w:rPr>
        <w:t xml:space="preserve">Observation </w:t>
      </w:r>
      <w:r w:rsidRPr="00192F0D">
        <w:rPr>
          <w:i/>
          <w:sz w:val="22"/>
        </w:rPr>
        <w:fldChar w:fldCharType="begin"/>
      </w:r>
      <w:r w:rsidRPr="00192F0D">
        <w:rPr>
          <w:i/>
          <w:sz w:val="22"/>
        </w:rPr>
        <w:instrText xml:space="preserve"> SEQ Observation \* ARABIC </w:instrText>
      </w:r>
      <w:r w:rsidRPr="00192F0D">
        <w:rPr>
          <w:i/>
          <w:sz w:val="22"/>
        </w:rPr>
        <w:fldChar w:fldCharType="separate"/>
      </w:r>
      <w:r w:rsidR="00CB08BF">
        <w:rPr>
          <w:i/>
          <w:noProof/>
          <w:sz w:val="22"/>
        </w:rPr>
        <w:t>1</w:t>
      </w:r>
      <w:r w:rsidRPr="00192F0D">
        <w:rPr>
          <w:i/>
          <w:sz w:val="22"/>
        </w:rPr>
        <w:fldChar w:fldCharType="end"/>
      </w:r>
      <w:r w:rsidRPr="00192F0D">
        <w:rPr>
          <w:i/>
          <w:sz w:val="22"/>
        </w:rPr>
        <w:t xml:space="preserve">: If network cannot guarantee </w:t>
      </w:r>
      <w:r w:rsidR="005666A9" w:rsidRPr="005666A9">
        <w:rPr>
          <w:i/>
          <w:sz w:val="22"/>
        </w:rPr>
        <w:t>transmitting the same Tx beam</w:t>
      </w:r>
      <w:r w:rsidR="005666A9" w:rsidRPr="00192F0D">
        <w:rPr>
          <w:i/>
          <w:sz w:val="22"/>
        </w:rPr>
        <w:t xml:space="preserve"> </w:t>
      </w:r>
      <w:r w:rsidRPr="00192F0D">
        <w:rPr>
          <w:i/>
          <w:sz w:val="22"/>
        </w:rPr>
        <w:t>at the same time for different PSCell and SCell(s)</w:t>
      </w:r>
      <w:r w:rsidR="00F338F7" w:rsidRPr="00192F0D">
        <w:rPr>
          <w:i/>
          <w:sz w:val="22"/>
          <w:lang w:val="en-US"/>
        </w:rPr>
        <w:t xml:space="preserve"> being activated</w:t>
      </w:r>
      <w:r w:rsidRPr="00192F0D">
        <w:rPr>
          <w:i/>
          <w:sz w:val="22"/>
        </w:rPr>
        <w:t xml:space="preserve">, the UE’s AGC re-tuning will still face big problem in intra-band </w:t>
      </w:r>
      <w:r w:rsidR="00A10387" w:rsidRPr="00192F0D">
        <w:rPr>
          <w:i/>
          <w:sz w:val="22"/>
          <w:lang w:val="en-US"/>
        </w:rPr>
        <w:t xml:space="preserve">even when the </w:t>
      </w:r>
      <w:r w:rsidR="00F338F7" w:rsidRPr="00192F0D">
        <w:rPr>
          <w:i/>
          <w:sz w:val="22"/>
          <w:lang w:val="en-US"/>
        </w:rPr>
        <w:t xml:space="preserve">SSB occasions of </w:t>
      </w:r>
      <w:r w:rsidR="00A10387" w:rsidRPr="00192F0D">
        <w:rPr>
          <w:i/>
          <w:sz w:val="22"/>
          <w:lang w:val="en-US"/>
        </w:rPr>
        <w:t xml:space="preserve">PSCell is </w:t>
      </w:r>
      <w:r w:rsidR="00E17FFB" w:rsidRPr="00192F0D">
        <w:rPr>
          <w:i/>
          <w:sz w:val="22"/>
          <w:lang w:val="en-US"/>
        </w:rPr>
        <w:t>well collided</w:t>
      </w:r>
      <w:r w:rsidR="00A10387" w:rsidRPr="00192F0D">
        <w:rPr>
          <w:i/>
          <w:sz w:val="22"/>
          <w:lang w:val="en-US"/>
        </w:rPr>
        <w:t xml:space="preserve"> with </w:t>
      </w:r>
      <w:r w:rsidR="00E17FFB" w:rsidRPr="00192F0D">
        <w:rPr>
          <w:i/>
          <w:sz w:val="22"/>
          <w:lang w:val="en-US"/>
        </w:rPr>
        <w:t xml:space="preserve">the SSB occasions of </w:t>
      </w:r>
      <w:r w:rsidR="00A10387" w:rsidRPr="00192F0D">
        <w:rPr>
          <w:i/>
          <w:sz w:val="22"/>
          <w:lang w:val="en-US"/>
        </w:rPr>
        <w:t>SCell</w:t>
      </w:r>
      <w:r w:rsidRPr="00192F0D">
        <w:rPr>
          <w:i/>
          <w:sz w:val="22"/>
        </w:rPr>
        <w:t>.</w:t>
      </w:r>
      <w:bookmarkEnd w:id="3"/>
      <w:r w:rsidRPr="00192F0D">
        <w:rPr>
          <w:i/>
          <w:sz w:val="22"/>
        </w:rPr>
        <w:t xml:space="preserve"> </w:t>
      </w:r>
    </w:p>
    <w:p w14:paraId="2277C39F" w14:textId="77777777" w:rsidR="005666A9" w:rsidRDefault="005666A9" w:rsidP="005666A9">
      <w:pPr>
        <w:autoSpaceDE w:val="0"/>
        <w:autoSpaceDN w:val="0"/>
        <w:spacing w:after="0" w:line="260" w:lineRule="atLeast"/>
        <w:jc w:val="both"/>
        <w:rPr>
          <w:lang w:val="en-GB" w:eastAsia="en-US"/>
        </w:rPr>
      </w:pPr>
      <w:r>
        <w:rPr>
          <w:lang w:val="en-GB" w:eastAsia="en-US"/>
        </w:rPr>
        <w:t xml:space="preserve">On the other hand, considering </w:t>
      </w:r>
      <w:r w:rsidRPr="005666A9">
        <w:rPr>
          <w:rFonts w:hint="eastAsia"/>
          <w:lang w:val="en-GB" w:eastAsia="en-US"/>
        </w:rPr>
        <w:t>intra-band</w:t>
      </w:r>
      <w:r>
        <w:rPr>
          <w:lang w:val="en-GB" w:eastAsia="en-US"/>
        </w:rPr>
        <w:t xml:space="preserve"> situation in FR2</w:t>
      </w:r>
      <w:r>
        <w:rPr>
          <w:rFonts w:hint="eastAsia"/>
          <w:lang w:val="en-GB" w:eastAsia="en-US"/>
        </w:rPr>
        <w:t>,</w:t>
      </w:r>
      <w:r w:rsidRPr="005666A9">
        <w:rPr>
          <w:rFonts w:hint="eastAsia"/>
          <w:lang w:val="en-GB" w:eastAsia="en-US"/>
        </w:rPr>
        <w:t xml:space="preserve"> since UE can only form an Rx beam direction at a time, it is also expected that all </w:t>
      </w:r>
      <w:r>
        <w:rPr>
          <w:lang w:val="en-GB" w:eastAsia="en-US"/>
        </w:rPr>
        <w:t xml:space="preserve">active </w:t>
      </w:r>
      <w:r w:rsidRPr="005666A9">
        <w:rPr>
          <w:rFonts w:hint="eastAsia"/>
          <w:lang w:val="en-GB" w:eastAsia="en-US"/>
        </w:rPr>
        <w:t>serving cells will also form the same Tx beam direction at a time. So that the best Tx-Rx beam pair can be used between all FR2 serving cells and UE. Otherwise, if different serving cells are transmitting through different Tx beam directions, than it makes UE difficult to choose a single best Rx beam for all serving cells, and thus the DL throughput of some serving cells will be compromised. Moreover, different Tx beams at serving cells may make UE experience large power imbalance among those serving cells. This makes the DL performance unreliable.</w:t>
      </w:r>
    </w:p>
    <w:p w14:paraId="6EC667F5" w14:textId="713CFDC9" w:rsidR="005666A9" w:rsidRPr="005666A9" w:rsidRDefault="005666A9" w:rsidP="005666A9">
      <w:pPr>
        <w:pStyle w:val="af0"/>
        <w:jc w:val="both"/>
        <w:rPr>
          <w:i/>
          <w:sz w:val="22"/>
        </w:rPr>
      </w:pPr>
      <w:bookmarkStart w:id="4" w:name="_Ref520294492"/>
      <w:bookmarkStart w:id="5" w:name="_Ref520296354"/>
      <w:r w:rsidRPr="005666A9">
        <w:rPr>
          <w:i/>
          <w:sz w:val="22"/>
        </w:rPr>
        <w:t xml:space="preserve">Observation </w:t>
      </w:r>
      <w:r w:rsidRPr="005666A9">
        <w:rPr>
          <w:i/>
          <w:sz w:val="22"/>
        </w:rPr>
        <w:fldChar w:fldCharType="begin"/>
      </w:r>
      <w:r w:rsidRPr="005666A9">
        <w:rPr>
          <w:i/>
          <w:sz w:val="22"/>
        </w:rPr>
        <w:instrText xml:space="preserve"> SEQ Observation \* ARABIC </w:instrText>
      </w:r>
      <w:r w:rsidRPr="005666A9">
        <w:rPr>
          <w:i/>
          <w:sz w:val="22"/>
        </w:rPr>
        <w:fldChar w:fldCharType="separate"/>
      </w:r>
      <w:r w:rsidR="00CB08BF">
        <w:rPr>
          <w:i/>
          <w:noProof/>
          <w:sz w:val="22"/>
        </w:rPr>
        <w:t>2</w:t>
      </w:r>
      <w:r w:rsidRPr="005666A9">
        <w:rPr>
          <w:i/>
          <w:sz w:val="22"/>
        </w:rPr>
        <w:fldChar w:fldCharType="end"/>
      </w:r>
      <w:bookmarkEnd w:id="4"/>
      <w:r w:rsidRPr="005666A9">
        <w:rPr>
          <w:i/>
          <w:sz w:val="22"/>
        </w:rPr>
        <w:t xml:space="preserve">: In FR2, </w:t>
      </w:r>
      <w:r w:rsidRPr="005666A9">
        <w:rPr>
          <w:rFonts w:hint="eastAsia"/>
          <w:i/>
          <w:sz w:val="22"/>
        </w:rPr>
        <w:t xml:space="preserve">the DL throughput of some serving cells will be </w:t>
      </w:r>
      <w:r w:rsidRPr="005666A9">
        <w:rPr>
          <w:i/>
          <w:sz w:val="22"/>
        </w:rPr>
        <w:t xml:space="preserve">decreased if </w:t>
      </w:r>
      <w:r w:rsidRPr="00192F0D">
        <w:rPr>
          <w:i/>
          <w:sz w:val="22"/>
        </w:rPr>
        <w:t xml:space="preserve">network cannot guarantee </w:t>
      </w:r>
      <w:r w:rsidRPr="005666A9">
        <w:rPr>
          <w:i/>
          <w:sz w:val="22"/>
        </w:rPr>
        <w:t>transmitting the same Tx beam</w:t>
      </w:r>
      <w:r w:rsidRPr="00192F0D">
        <w:rPr>
          <w:i/>
          <w:sz w:val="22"/>
        </w:rPr>
        <w:t xml:space="preserve"> at the same time</w:t>
      </w:r>
      <w:r>
        <w:rPr>
          <w:i/>
          <w:sz w:val="22"/>
          <w:lang w:val="en-US"/>
        </w:rPr>
        <w:t xml:space="preserve"> for active serving cells</w:t>
      </w:r>
      <w:r w:rsidRPr="005666A9">
        <w:rPr>
          <w:i/>
          <w:sz w:val="22"/>
        </w:rPr>
        <w:t>.</w:t>
      </w:r>
      <w:bookmarkEnd w:id="5"/>
    </w:p>
    <w:p w14:paraId="484537BA" w14:textId="1536FF15" w:rsidR="005666A9" w:rsidRPr="00192F0D" w:rsidRDefault="005666A9" w:rsidP="005666A9">
      <w:pPr>
        <w:pStyle w:val="af0"/>
        <w:jc w:val="both"/>
        <w:rPr>
          <w:i/>
          <w:sz w:val="22"/>
          <w:lang w:val="en-US"/>
        </w:rPr>
      </w:pPr>
      <w:bookmarkStart w:id="6" w:name="_Ref513881503"/>
      <w:r w:rsidRPr="00192F0D">
        <w:rPr>
          <w:i/>
          <w:sz w:val="22"/>
        </w:rPr>
        <w:t xml:space="preserve">Proposal </w:t>
      </w:r>
      <w:r w:rsidRPr="00192F0D">
        <w:rPr>
          <w:i/>
          <w:sz w:val="22"/>
        </w:rPr>
        <w:fldChar w:fldCharType="begin"/>
      </w:r>
      <w:r w:rsidRPr="00192F0D">
        <w:rPr>
          <w:i/>
          <w:sz w:val="22"/>
        </w:rPr>
        <w:instrText xml:space="preserve"> SEQ Proposal \* ARABIC </w:instrText>
      </w:r>
      <w:r w:rsidRPr="00192F0D">
        <w:rPr>
          <w:i/>
          <w:sz w:val="22"/>
        </w:rPr>
        <w:fldChar w:fldCharType="separate"/>
      </w:r>
      <w:r w:rsidR="00CB08BF">
        <w:rPr>
          <w:i/>
          <w:noProof/>
          <w:sz w:val="22"/>
        </w:rPr>
        <w:t>1</w:t>
      </w:r>
      <w:r w:rsidRPr="00192F0D">
        <w:rPr>
          <w:i/>
          <w:sz w:val="22"/>
        </w:rPr>
        <w:fldChar w:fldCharType="end"/>
      </w:r>
      <w:r w:rsidRPr="00192F0D">
        <w:rPr>
          <w:i/>
          <w:sz w:val="22"/>
          <w:lang w:val="en-US"/>
        </w:rPr>
        <w:t xml:space="preserve">: </w:t>
      </w:r>
      <w:r w:rsidRPr="00192F0D">
        <w:rPr>
          <w:rFonts w:cs="v4.2.0"/>
          <w:i/>
          <w:sz w:val="22"/>
          <w:lang w:val="en-US" w:eastAsia="ko-KR"/>
        </w:rPr>
        <w:t xml:space="preserve">The network should guarantee </w:t>
      </w:r>
      <w:r w:rsidRPr="005666A9">
        <w:rPr>
          <w:i/>
          <w:sz w:val="22"/>
        </w:rPr>
        <w:t>transmitting the same Tx beam</w:t>
      </w:r>
      <w:r w:rsidRPr="00192F0D">
        <w:rPr>
          <w:i/>
          <w:sz w:val="22"/>
        </w:rPr>
        <w:t xml:space="preserve"> at the same time</w:t>
      </w:r>
      <w:r>
        <w:rPr>
          <w:i/>
          <w:sz w:val="22"/>
          <w:lang w:val="en-US"/>
        </w:rPr>
        <w:t xml:space="preserve"> </w:t>
      </w:r>
      <w:r w:rsidRPr="00192F0D">
        <w:rPr>
          <w:rFonts w:cs="v4.2.0"/>
          <w:i/>
          <w:sz w:val="22"/>
          <w:lang w:val="en-US" w:eastAsia="ko-KR"/>
        </w:rPr>
        <w:t xml:space="preserve">for </w:t>
      </w:r>
      <w:r>
        <w:rPr>
          <w:rFonts w:cs="v4.2.0"/>
          <w:i/>
          <w:sz w:val="22"/>
          <w:lang w:val="en-US" w:eastAsia="ko-KR"/>
        </w:rPr>
        <w:t xml:space="preserve">all active serving cells </w:t>
      </w:r>
      <w:r w:rsidRPr="00192F0D">
        <w:rPr>
          <w:rFonts w:cs="v4.2.0"/>
          <w:i/>
          <w:sz w:val="22"/>
          <w:lang w:val="en-US" w:eastAsia="ko-KR"/>
        </w:rPr>
        <w:t xml:space="preserve">and </w:t>
      </w:r>
      <w:r w:rsidRPr="00192F0D">
        <w:rPr>
          <w:i/>
          <w:sz w:val="22"/>
        </w:rPr>
        <w:t>SCell(s)</w:t>
      </w:r>
      <w:r w:rsidRPr="00192F0D">
        <w:rPr>
          <w:i/>
          <w:sz w:val="22"/>
          <w:lang w:val="en-US"/>
        </w:rPr>
        <w:t xml:space="preserve"> being activated</w:t>
      </w:r>
      <w:r w:rsidRPr="00192F0D">
        <w:rPr>
          <w:rFonts w:cs="v4.2.0"/>
          <w:i/>
          <w:sz w:val="22"/>
          <w:lang w:val="en-US" w:eastAsia="ko-KR"/>
        </w:rPr>
        <w:t xml:space="preserve"> for intra-band</w:t>
      </w:r>
      <w:r w:rsidRPr="00192F0D">
        <w:rPr>
          <w:i/>
          <w:sz w:val="22"/>
          <w:lang w:val="en-US"/>
        </w:rPr>
        <w:t>.</w:t>
      </w:r>
      <w:bookmarkEnd w:id="6"/>
      <w:r>
        <w:rPr>
          <w:i/>
          <w:sz w:val="22"/>
          <w:lang w:val="en-US"/>
        </w:rPr>
        <w:t xml:space="preserve"> </w:t>
      </w:r>
      <w:r w:rsidR="00CB08BF">
        <w:rPr>
          <w:i/>
          <w:sz w:val="22"/>
          <w:lang w:val="en-US"/>
        </w:rPr>
        <w:t xml:space="preserve">It is </w:t>
      </w:r>
      <w:r>
        <w:rPr>
          <w:i/>
          <w:sz w:val="22"/>
          <w:lang w:val="en-US"/>
        </w:rPr>
        <w:t>encourage</w:t>
      </w:r>
      <w:r w:rsidR="00CB08BF">
        <w:rPr>
          <w:i/>
          <w:sz w:val="22"/>
          <w:lang w:val="en-US"/>
        </w:rPr>
        <w:t>d</w:t>
      </w:r>
      <w:r>
        <w:rPr>
          <w:i/>
          <w:sz w:val="22"/>
          <w:lang w:val="en-US"/>
        </w:rPr>
        <w:t xml:space="preserve"> </w:t>
      </w:r>
      <w:r w:rsidR="00CB08BF">
        <w:rPr>
          <w:i/>
          <w:sz w:val="22"/>
          <w:lang w:val="en-US"/>
        </w:rPr>
        <w:t>to</w:t>
      </w:r>
      <w:r>
        <w:rPr>
          <w:i/>
          <w:sz w:val="22"/>
          <w:lang w:val="en-US"/>
        </w:rPr>
        <w:t xml:space="preserve"> discuss how to capture this restriction into specification</w:t>
      </w:r>
      <w:r w:rsidR="00CB08BF">
        <w:rPr>
          <w:i/>
          <w:sz w:val="22"/>
          <w:lang w:val="en-US"/>
        </w:rPr>
        <w:t xml:space="preserve"> in RAN4</w:t>
      </w:r>
      <w:r>
        <w:rPr>
          <w:i/>
          <w:sz w:val="22"/>
          <w:lang w:val="en-US"/>
        </w:rPr>
        <w:t>.</w:t>
      </w:r>
    </w:p>
    <w:p w14:paraId="67C54847" w14:textId="4FE582B6" w:rsidR="001A440B" w:rsidRDefault="001A440B" w:rsidP="001A440B">
      <w:pPr>
        <w:rPr>
          <w:lang w:eastAsia="x-none"/>
        </w:rPr>
      </w:pPr>
    </w:p>
    <w:p w14:paraId="0A55645F" w14:textId="32D455FC" w:rsidR="00F21D95" w:rsidRDefault="0050606C" w:rsidP="001A440B">
      <w:pPr>
        <w:jc w:val="both"/>
        <w:rPr>
          <w:b/>
          <w:i/>
        </w:rPr>
      </w:pPr>
      <w:r>
        <w:rPr>
          <w:b/>
          <w:i/>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14:paraId="66549B52" w14:textId="6DE1005F"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CB08BF">
        <w:t xml:space="preserve">discussion on </w:t>
      </w:r>
      <w:r w:rsidR="005666A9">
        <w:t>restriction for transmitting the same Tx beam at the same time</w:t>
      </w:r>
      <w:r w:rsidR="00B420D5">
        <w:t>.</w:t>
      </w:r>
      <w:r w:rsidR="0045049C">
        <w:t xml:space="preserve"> </w:t>
      </w:r>
      <w:r w:rsidR="005666A9">
        <w:t xml:space="preserve">The </w:t>
      </w:r>
      <w:r w:rsidR="0045049C" w:rsidRPr="0045049C">
        <w:t>conclusions for PSCell and SCell being activated could extend to the other scenarios, such as</w:t>
      </w:r>
    </w:p>
    <w:p w14:paraId="06466434" w14:textId="77777777" w:rsidR="00DB12F8" w:rsidRPr="0045049C" w:rsidRDefault="00DB12F8" w:rsidP="00DB12F8">
      <w:pPr>
        <w:pStyle w:val="af3"/>
        <w:numPr>
          <w:ilvl w:val="0"/>
          <w:numId w:val="46"/>
        </w:numPr>
        <w:jc w:val="both"/>
        <w:rPr>
          <w:lang w:eastAsia="zh-CN"/>
        </w:rPr>
      </w:pPr>
      <w:r w:rsidRPr="0045049C">
        <w:rPr>
          <w:lang w:eastAsia="zh-CN"/>
        </w:rPr>
        <w:t xml:space="preserve">PSCell and multiple activated SCells in EN-DC; </w:t>
      </w:r>
    </w:p>
    <w:p w14:paraId="557EC374" w14:textId="77777777" w:rsidR="00DB12F8" w:rsidRPr="0045049C" w:rsidRDefault="00DB12F8" w:rsidP="00DB12F8">
      <w:pPr>
        <w:pStyle w:val="af3"/>
        <w:numPr>
          <w:ilvl w:val="0"/>
          <w:numId w:val="46"/>
        </w:numPr>
        <w:jc w:val="both"/>
        <w:rPr>
          <w:lang w:eastAsia="zh-CN"/>
        </w:rPr>
      </w:pPr>
      <w:r w:rsidRPr="0045049C">
        <w:rPr>
          <w:lang w:eastAsia="zh-CN"/>
        </w:rPr>
        <w:t>PCell and multiple activated SCells in SA NR Carrier Aggregation.</w:t>
      </w:r>
    </w:p>
    <w:p w14:paraId="6D704375" w14:textId="61866300" w:rsidR="00EE50DB" w:rsidRDefault="00EE50DB" w:rsidP="004D4225">
      <w:pPr>
        <w:adjustRightInd w:val="0"/>
        <w:snapToGrid w:val="0"/>
        <w:spacing w:before="180" w:after="120"/>
        <w:jc w:val="both"/>
        <w:rPr>
          <w:b/>
        </w:rPr>
      </w:pPr>
      <w:r w:rsidRPr="00EE50DB">
        <w:rPr>
          <w:b/>
        </w:rPr>
        <w:fldChar w:fldCharType="begin"/>
      </w:r>
      <w:r w:rsidRPr="00EE50DB">
        <w:rPr>
          <w:b/>
        </w:rPr>
        <w:instrText xml:space="preserve"> REF _Ref521145602 \h </w:instrText>
      </w:r>
      <w:r>
        <w:rPr>
          <w:b/>
        </w:rPr>
        <w:instrText xml:space="preserve"> \* MERGEFORMAT </w:instrText>
      </w:r>
      <w:r w:rsidRPr="00EE50DB">
        <w:rPr>
          <w:b/>
        </w:rPr>
      </w:r>
      <w:r w:rsidRPr="00EE50DB">
        <w:rPr>
          <w:b/>
        </w:rPr>
        <w:fldChar w:fldCharType="separate"/>
      </w:r>
      <w:r w:rsidR="00CB08BF" w:rsidRPr="00CB08BF">
        <w:rPr>
          <w:b/>
          <w:i/>
          <w:lang w:val="x-none"/>
        </w:rPr>
        <w:t xml:space="preserve">Observation </w:t>
      </w:r>
      <w:r w:rsidR="00CB08BF" w:rsidRPr="00CB08BF">
        <w:rPr>
          <w:b/>
          <w:i/>
          <w:noProof/>
        </w:rPr>
        <w:t>1</w:t>
      </w:r>
      <w:r w:rsidR="00CB08BF" w:rsidRPr="00CB08BF">
        <w:rPr>
          <w:b/>
          <w:i/>
          <w:lang w:val="x-none"/>
        </w:rPr>
        <w:t xml:space="preserve">: </w:t>
      </w:r>
      <w:r w:rsidR="00CB08BF" w:rsidRPr="00CB08BF">
        <w:rPr>
          <w:b/>
          <w:i/>
        </w:rPr>
        <w:t>If network cannot guarantee transmitting the same Tx beam at the same time for different PSCell and SCell(s) being activated, the UE’s AGC re-tuning will still face big problem in intra-band even when the SSB occasions of PSCell is well collided with the SSB occasions of SCell.</w:t>
      </w:r>
      <w:r w:rsidRPr="00EE50DB">
        <w:rPr>
          <w:b/>
        </w:rPr>
        <w:fldChar w:fldCharType="end"/>
      </w:r>
    </w:p>
    <w:p w14:paraId="007B7C61" w14:textId="26F44904" w:rsidR="005666A9" w:rsidRPr="005666A9" w:rsidRDefault="005666A9" w:rsidP="004D4225">
      <w:pPr>
        <w:adjustRightInd w:val="0"/>
        <w:snapToGrid w:val="0"/>
        <w:spacing w:before="180" w:after="120"/>
        <w:jc w:val="both"/>
        <w:rPr>
          <w:b/>
          <w:i/>
        </w:rPr>
      </w:pPr>
      <w:r w:rsidRPr="005666A9">
        <w:rPr>
          <w:b/>
          <w:i/>
        </w:rPr>
        <w:fldChar w:fldCharType="begin"/>
      </w:r>
      <w:r w:rsidRPr="005666A9">
        <w:rPr>
          <w:b/>
          <w:i/>
        </w:rPr>
        <w:instrText xml:space="preserve"> REF _Ref520296354 \h </w:instrText>
      </w:r>
      <w:r>
        <w:rPr>
          <w:b/>
          <w:i/>
        </w:rPr>
        <w:instrText xml:space="preserve"> \* MERGEFORMAT </w:instrText>
      </w:r>
      <w:r w:rsidRPr="005666A9">
        <w:rPr>
          <w:b/>
          <w:i/>
        </w:rPr>
      </w:r>
      <w:r w:rsidRPr="005666A9">
        <w:rPr>
          <w:b/>
          <w:i/>
        </w:rPr>
        <w:fldChar w:fldCharType="separate"/>
      </w:r>
      <w:r w:rsidR="00CB08BF" w:rsidRPr="00CB08BF">
        <w:rPr>
          <w:b/>
          <w:i/>
        </w:rPr>
        <w:t xml:space="preserve">Observation 2: In FR2, </w:t>
      </w:r>
      <w:r w:rsidR="00CB08BF" w:rsidRPr="00CB08BF">
        <w:rPr>
          <w:rFonts w:hint="eastAsia"/>
          <w:b/>
          <w:i/>
        </w:rPr>
        <w:t xml:space="preserve">the DL throughput of some serving cells will be </w:t>
      </w:r>
      <w:r w:rsidR="00CB08BF" w:rsidRPr="00CB08BF">
        <w:rPr>
          <w:b/>
          <w:i/>
        </w:rPr>
        <w:t>decreased if network cannot guarantee transmitting the same Tx beam at the same time for active serving cells.</w:t>
      </w:r>
      <w:r w:rsidRPr="005666A9">
        <w:rPr>
          <w:b/>
          <w:i/>
        </w:rPr>
        <w:fldChar w:fldCharType="end"/>
      </w:r>
    </w:p>
    <w:p w14:paraId="0E18BCF6" w14:textId="79E4828C" w:rsidR="00EE50DB" w:rsidRPr="00CB08BF" w:rsidRDefault="00EE50DB" w:rsidP="004D4225">
      <w:pPr>
        <w:adjustRightInd w:val="0"/>
        <w:snapToGrid w:val="0"/>
        <w:spacing w:before="180" w:after="120"/>
        <w:jc w:val="both"/>
        <w:rPr>
          <w:b/>
        </w:rPr>
      </w:pPr>
      <w:r w:rsidRPr="00CB08BF">
        <w:rPr>
          <w:b/>
        </w:rPr>
        <w:fldChar w:fldCharType="begin"/>
      </w:r>
      <w:r w:rsidRPr="00CB08BF">
        <w:rPr>
          <w:b/>
        </w:rPr>
        <w:instrText xml:space="preserve"> REF _Ref513881503 \h  \* MERGEFORMAT </w:instrText>
      </w:r>
      <w:r w:rsidRPr="00CB08BF">
        <w:rPr>
          <w:b/>
        </w:rPr>
      </w:r>
      <w:r w:rsidRPr="00CB08BF">
        <w:rPr>
          <w:b/>
        </w:rPr>
        <w:fldChar w:fldCharType="separate"/>
      </w:r>
      <w:r w:rsidR="00CB08BF" w:rsidRPr="00CB08BF">
        <w:rPr>
          <w:b/>
          <w:i/>
        </w:rPr>
        <w:t xml:space="preserve">Proposal </w:t>
      </w:r>
      <w:r w:rsidR="00CB08BF" w:rsidRPr="00CB08BF">
        <w:rPr>
          <w:b/>
          <w:i/>
          <w:noProof/>
        </w:rPr>
        <w:t>1</w:t>
      </w:r>
      <w:r w:rsidR="00CB08BF" w:rsidRPr="00CB08BF">
        <w:rPr>
          <w:b/>
          <w:i/>
        </w:rPr>
        <w:t xml:space="preserve">: </w:t>
      </w:r>
      <w:r w:rsidR="00CB08BF" w:rsidRPr="00CB08BF">
        <w:rPr>
          <w:rFonts w:cs="v4.2.0"/>
          <w:b/>
          <w:i/>
          <w:lang w:eastAsia="ko-KR"/>
        </w:rPr>
        <w:t>The network should</w:t>
      </w:r>
      <w:r w:rsidR="00CB08BF" w:rsidRPr="00CB08BF">
        <w:rPr>
          <w:b/>
          <w:i/>
        </w:rPr>
        <w:t xml:space="preserve"> guarantee transmitting the same Tx beam at the same time for all active serving cells and SCell(s) being activated for intra-band.</w:t>
      </w:r>
      <w:r w:rsidRPr="00CB08BF">
        <w:rPr>
          <w:b/>
        </w:rPr>
        <w:fldChar w:fldCharType="end"/>
      </w:r>
      <w:r w:rsidR="00CB08BF" w:rsidRPr="00CB08BF">
        <w:rPr>
          <w:b/>
        </w:rPr>
        <w:t xml:space="preserve"> </w:t>
      </w:r>
      <w:r w:rsidR="00CB08BF" w:rsidRPr="00CB08BF">
        <w:rPr>
          <w:b/>
          <w:i/>
        </w:rPr>
        <w:t>It is encouraged to discuss how to capture this restriction into specification in RAN4.</w:t>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568D10C" w14:textId="4BB7B422" w:rsidR="00755FEF" w:rsidRDefault="00EE50DB" w:rsidP="00755FEF">
      <w:pPr>
        <w:numPr>
          <w:ilvl w:val="0"/>
          <w:numId w:val="1"/>
        </w:numPr>
        <w:rPr>
          <w:iCs/>
          <w:lang w:val="en-GB"/>
        </w:rPr>
      </w:pPr>
      <w:bookmarkStart w:id="7" w:name="_Ref446505138"/>
      <w:bookmarkStart w:id="8" w:name="_Ref505701833"/>
      <w:r>
        <w:rPr>
          <w:iCs/>
          <w:lang w:val="en-GB"/>
        </w:rPr>
        <w:t>38.133</w:t>
      </w:r>
    </w:p>
    <w:bookmarkEnd w:id="7"/>
    <w:bookmarkEnd w:id="8"/>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99360" w14:textId="77777777" w:rsidR="00ED23D0" w:rsidRDefault="00ED23D0">
      <w:r>
        <w:separator/>
      </w:r>
    </w:p>
  </w:endnote>
  <w:endnote w:type="continuationSeparator" w:id="0">
    <w:p w14:paraId="68608A08" w14:textId="77777777" w:rsidR="00ED23D0" w:rsidRDefault="00ED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F41BC" w14:textId="77777777" w:rsidR="00ED23D0" w:rsidRDefault="00ED23D0">
      <w:r>
        <w:separator/>
      </w:r>
    </w:p>
  </w:footnote>
  <w:footnote w:type="continuationSeparator" w:id="0">
    <w:p w14:paraId="0274A490" w14:textId="77777777" w:rsidR="00ED23D0" w:rsidRDefault="00ED23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7D"/>
    <w:multiLevelType w:val="hybridMultilevel"/>
    <w:tmpl w:val="A7921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591BA0"/>
    <w:multiLevelType w:val="hybridMultilevel"/>
    <w:tmpl w:val="0356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820E9"/>
    <w:multiLevelType w:val="hybridMultilevel"/>
    <w:tmpl w:val="70D8B24C"/>
    <w:lvl w:ilvl="0" w:tplc="CCFA163A">
      <w:start w:val="9"/>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2F0F84"/>
    <w:multiLevelType w:val="hybridMultilevel"/>
    <w:tmpl w:val="F1F876E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6636C3"/>
    <w:multiLevelType w:val="hybridMultilevel"/>
    <w:tmpl w:val="23C6EAE2"/>
    <w:lvl w:ilvl="0" w:tplc="6DF4AD4A">
      <w:start w:val="1"/>
      <w:numFmt w:val="bullet"/>
      <w:lvlText w:val="•"/>
      <w:lvlJc w:val="left"/>
      <w:pPr>
        <w:tabs>
          <w:tab w:val="num" w:pos="720"/>
        </w:tabs>
        <w:ind w:left="720" w:hanging="360"/>
      </w:pPr>
      <w:rPr>
        <w:rFonts w:ascii="Arial" w:hAnsi="Arial" w:hint="default"/>
      </w:rPr>
    </w:lvl>
    <w:lvl w:ilvl="1" w:tplc="850CC622">
      <w:start w:val="1"/>
      <w:numFmt w:val="bullet"/>
      <w:lvlText w:val="•"/>
      <w:lvlJc w:val="left"/>
      <w:pPr>
        <w:tabs>
          <w:tab w:val="num" w:pos="1440"/>
        </w:tabs>
        <w:ind w:left="1440" w:hanging="360"/>
      </w:pPr>
      <w:rPr>
        <w:rFonts w:ascii="Arial" w:hAnsi="Arial" w:hint="default"/>
      </w:rPr>
    </w:lvl>
    <w:lvl w:ilvl="2" w:tplc="88F466F2" w:tentative="1">
      <w:start w:val="1"/>
      <w:numFmt w:val="bullet"/>
      <w:lvlText w:val="•"/>
      <w:lvlJc w:val="left"/>
      <w:pPr>
        <w:tabs>
          <w:tab w:val="num" w:pos="2160"/>
        </w:tabs>
        <w:ind w:left="2160" w:hanging="360"/>
      </w:pPr>
      <w:rPr>
        <w:rFonts w:ascii="Arial" w:hAnsi="Arial" w:hint="default"/>
      </w:rPr>
    </w:lvl>
    <w:lvl w:ilvl="3" w:tplc="D6D2F4EA" w:tentative="1">
      <w:start w:val="1"/>
      <w:numFmt w:val="bullet"/>
      <w:lvlText w:val="•"/>
      <w:lvlJc w:val="left"/>
      <w:pPr>
        <w:tabs>
          <w:tab w:val="num" w:pos="2880"/>
        </w:tabs>
        <w:ind w:left="2880" w:hanging="360"/>
      </w:pPr>
      <w:rPr>
        <w:rFonts w:ascii="Arial" w:hAnsi="Arial" w:hint="default"/>
      </w:rPr>
    </w:lvl>
    <w:lvl w:ilvl="4" w:tplc="7556F91E" w:tentative="1">
      <w:start w:val="1"/>
      <w:numFmt w:val="bullet"/>
      <w:lvlText w:val="•"/>
      <w:lvlJc w:val="left"/>
      <w:pPr>
        <w:tabs>
          <w:tab w:val="num" w:pos="3600"/>
        </w:tabs>
        <w:ind w:left="3600" w:hanging="360"/>
      </w:pPr>
      <w:rPr>
        <w:rFonts w:ascii="Arial" w:hAnsi="Arial" w:hint="default"/>
      </w:rPr>
    </w:lvl>
    <w:lvl w:ilvl="5" w:tplc="98EC4428" w:tentative="1">
      <w:start w:val="1"/>
      <w:numFmt w:val="bullet"/>
      <w:lvlText w:val="•"/>
      <w:lvlJc w:val="left"/>
      <w:pPr>
        <w:tabs>
          <w:tab w:val="num" w:pos="4320"/>
        </w:tabs>
        <w:ind w:left="4320" w:hanging="360"/>
      </w:pPr>
      <w:rPr>
        <w:rFonts w:ascii="Arial" w:hAnsi="Arial" w:hint="default"/>
      </w:rPr>
    </w:lvl>
    <w:lvl w:ilvl="6" w:tplc="0380C4D4" w:tentative="1">
      <w:start w:val="1"/>
      <w:numFmt w:val="bullet"/>
      <w:lvlText w:val="•"/>
      <w:lvlJc w:val="left"/>
      <w:pPr>
        <w:tabs>
          <w:tab w:val="num" w:pos="5040"/>
        </w:tabs>
        <w:ind w:left="5040" w:hanging="360"/>
      </w:pPr>
      <w:rPr>
        <w:rFonts w:ascii="Arial" w:hAnsi="Arial" w:hint="default"/>
      </w:rPr>
    </w:lvl>
    <w:lvl w:ilvl="7" w:tplc="73981646" w:tentative="1">
      <w:start w:val="1"/>
      <w:numFmt w:val="bullet"/>
      <w:lvlText w:val="•"/>
      <w:lvlJc w:val="left"/>
      <w:pPr>
        <w:tabs>
          <w:tab w:val="num" w:pos="5760"/>
        </w:tabs>
        <w:ind w:left="5760" w:hanging="360"/>
      </w:pPr>
      <w:rPr>
        <w:rFonts w:ascii="Arial" w:hAnsi="Arial" w:hint="default"/>
      </w:rPr>
    </w:lvl>
    <w:lvl w:ilvl="8" w:tplc="F56E27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483931"/>
    <w:multiLevelType w:val="hybridMultilevel"/>
    <w:tmpl w:val="82B4B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44BA1"/>
    <w:multiLevelType w:val="hybridMultilevel"/>
    <w:tmpl w:val="64C659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8"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131B03"/>
    <w:multiLevelType w:val="hybridMultilevel"/>
    <w:tmpl w:val="F7CA90B6"/>
    <w:lvl w:ilvl="0" w:tplc="1E74D402">
      <w:start w:val="1"/>
      <w:numFmt w:val="bullet"/>
      <w:lvlText w:val="▪"/>
      <w:lvlJc w:val="left"/>
      <w:pPr>
        <w:tabs>
          <w:tab w:val="num" w:pos="720"/>
        </w:tabs>
        <w:ind w:left="720" w:hanging="360"/>
      </w:pPr>
      <w:rPr>
        <w:rFonts w:ascii="Lucida Grande" w:hAnsi="Lucida Grande" w:hint="default"/>
      </w:rPr>
    </w:lvl>
    <w:lvl w:ilvl="1" w:tplc="C88C61BA" w:tentative="1">
      <w:start w:val="1"/>
      <w:numFmt w:val="bullet"/>
      <w:lvlText w:val="▪"/>
      <w:lvlJc w:val="left"/>
      <w:pPr>
        <w:tabs>
          <w:tab w:val="num" w:pos="1440"/>
        </w:tabs>
        <w:ind w:left="1440" w:hanging="360"/>
      </w:pPr>
      <w:rPr>
        <w:rFonts w:ascii="Lucida Grande" w:hAnsi="Lucida Grande" w:hint="default"/>
      </w:rPr>
    </w:lvl>
    <w:lvl w:ilvl="2" w:tplc="AFC4A48C">
      <w:start w:val="1"/>
      <w:numFmt w:val="bullet"/>
      <w:lvlText w:val="▪"/>
      <w:lvlJc w:val="left"/>
      <w:pPr>
        <w:tabs>
          <w:tab w:val="num" w:pos="2160"/>
        </w:tabs>
        <w:ind w:left="2160" w:hanging="360"/>
      </w:pPr>
      <w:rPr>
        <w:rFonts w:ascii="Lucida Grande" w:hAnsi="Lucida Grande" w:hint="default"/>
      </w:rPr>
    </w:lvl>
    <w:lvl w:ilvl="3" w:tplc="2D1E5260" w:tentative="1">
      <w:start w:val="1"/>
      <w:numFmt w:val="bullet"/>
      <w:lvlText w:val="▪"/>
      <w:lvlJc w:val="left"/>
      <w:pPr>
        <w:tabs>
          <w:tab w:val="num" w:pos="2880"/>
        </w:tabs>
        <w:ind w:left="2880" w:hanging="360"/>
      </w:pPr>
      <w:rPr>
        <w:rFonts w:ascii="Lucida Grande" w:hAnsi="Lucida Grande" w:hint="default"/>
      </w:rPr>
    </w:lvl>
    <w:lvl w:ilvl="4" w:tplc="7E38AA64" w:tentative="1">
      <w:start w:val="1"/>
      <w:numFmt w:val="bullet"/>
      <w:lvlText w:val="▪"/>
      <w:lvlJc w:val="left"/>
      <w:pPr>
        <w:tabs>
          <w:tab w:val="num" w:pos="3600"/>
        </w:tabs>
        <w:ind w:left="3600" w:hanging="360"/>
      </w:pPr>
      <w:rPr>
        <w:rFonts w:ascii="Lucida Grande" w:hAnsi="Lucida Grande" w:hint="default"/>
      </w:rPr>
    </w:lvl>
    <w:lvl w:ilvl="5" w:tplc="601CA9B0" w:tentative="1">
      <w:start w:val="1"/>
      <w:numFmt w:val="bullet"/>
      <w:lvlText w:val="▪"/>
      <w:lvlJc w:val="left"/>
      <w:pPr>
        <w:tabs>
          <w:tab w:val="num" w:pos="4320"/>
        </w:tabs>
        <w:ind w:left="4320" w:hanging="360"/>
      </w:pPr>
      <w:rPr>
        <w:rFonts w:ascii="Lucida Grande" w:hAnsi="Lucida Grande" w:hint="default"/>
      </w:rPr>
    </w:lvl>
    <w:lvl w:ilvl="6" w:tplc="36B8C3BE" w:tentative="1">
      <w:start w:val="1"/>
      <w:numFmt w:val="bullet"/>
      <w:lvlText w:val="▪"/>
      <w:lvlJc w:val="left"/>
      <w:pPr>
        <w:tabs>
          <w:tab w:val="num" w:pos="5040"/>
        </w:tabs>
        <w:ind w:left="5040" w:hanging="360"/>
      </w:pPr>
      <w:rPr>
        <w:rFonts w:ascii="Lucida Grande" w:hAnsi="Lucida Grande" w:hint="default"/>
      </w:rPr>
    </w:lvl>
    <w:lvl w:ilvl="7" w:tplc="DE1EC552" w:tentative="1">
      <w:start w:val="1"/>
      <w:numFmt w:val="bullet"/>
      <w:lvlText w:val="▪"/>
      <w:lvlJc w:val="left"/>
      <w:pPr>
        <w:tabs>
          <w:tab w:val="num" w:pos="5760"/>
        </w:tabs>
        <w:ind w:left="5760" w:hanging="360"/>
      </w:pPr>
      <w:rPr>
        <w:rFonts w:ascii="Lucida Grande" w:hAnsi="Lucida Grande" w:hint="default"/>
      </w:rPr>
    </w:lvl>
    <w:lvl w:ilvl="8" w:tplc="8A8C873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6B684077"/>
    <w:multiLevelType w:val="hybridMultilevel"/>
    <w:tmpl w:val="BAC0D628"/>
    <w:lvl w:ilvl="0" w:tplc="6D18AC94">
      <w:start w:val="1"/>
      <w:numFmt w:val="bullet"/>
      <w:lvlText w:val="•"/>
      <w:lvlJc w:val="left"/>
      <w:pPr>
        <w:tabs>
          <w:tab w:val="num" w:pos="720"/>
        </w:tabs>
        <w:ind w:left="720" w:hanging="360"/>
      </w:pPr>
      <w:rPr>
        <w:rFonts w:ascii="Arial" w:hAnsi="Arial" w:hint="default"/>
      </w:rPr>
    </w:lvl>
    <w:lvl w:ilvl="1" w:tplc="46A6AFD2" w:tentative="1">
      <w:start w:val="1"/>
      <w:numFmt w:val="bullet"/>
      <w:lvlText w:val="•"/>
      <w:lvlJc w:val="left"/>
      <w:pPr>
        <w:tabs>
          <w:tab w:val="num" w:pos="1440"/>
        </w:tabs>
        <w:ind w:left="1440" w:hanging="360"/>
      </w:pPr>
      <w:rPr>
        <w:rFonts w:ascii="Arial" w:hAnsi="Arial" w:hint="default"/>
      </w:rPr>
    </w:lvl>
    <w:lvl w:ilvl="2" w:tplc="800CE9D2" w:tentative="1">
      <w:start w:val="1"/>
      <w:numFmt w:val="bullet"/>
      <w:lvlText w:val="•"/>
      <w:lvlJc w:val="left"/>
      <w:pPr>
        <w:tabs>
          <w:tab w:val="num" w:pos="2160"/>
        </w:tabs>
        <w:ind w:left="2160" w:hanging="360"/>
      </w:pPr>
      <w:rPr>
        <w:rFonts w:ascii="Arial" w:hAnsi="Arial" w:hint="default"/>
      </w:rPr>
    </w:lvl>
    <w:lvl w:ilvl="3" w:tplc="9AC0549C" w:tentative="1">
      <w:start w:val="1"/>
      <w:numFmt w:val="bullet"/>
      <w:lvlText w:val="•"/>
      <w:lvlJc w:val="left"/>
      <w:pPr>
        <w:tabs>
          <w:tab w:val="num" w:pos="2880"/>
        </w:tabs>
        <w:ind w:left="2880" w:hanging="360"/>
      </w:pPr>
      <w:rPr>
        <w:rFonts w:ascii="Arial" w:hAnsi="Arial" w:hint="default"/>
      </w:rPr>
    </w:lvl>
    <w:lvl w:ilvl="4" w:tplc="62804A00" w:tentative="1">
      <w:start w:val="1"/>
      <w:numFmt w:val="bullet"/>
      <w:lvlText w:val="•"/>
      <w:lvlJc w:val="left"/>
      <w:pPr>
        <w:tabs>
          <w:tab w:val="num" w:pos="3600"/>
        </w:tabs>
        <w:ind w:left="3600" w:hanging="360"/>
      </w:pPr>
      <w:rPr>
        <w:rFonts w:ascii="Arial" w:hAnsi="Arial" w:hint="default"/>
      </w:rPr>
    </w:lvl>
    <w:lvl w:ilvl="5" w:tplc="7286EE28" w:tentative="1">
      <w:start w:val="1"/>
      <w:numFmt w:val="bullet"/>
      <w:lvlText w:val="•"/>
      <w:lvlJc w:val="left"/>
      <w:pPr>
        <w:tabs>
          <w:tab w:val="num" w:pos="4320"/>
        </w:tabs>
        <w:ind w:left="4320" w:hanging="360"/>
      </w:pPr>
      <w:rPr>
        <w:rFonts w:ascii="Arial" w:hAnsi="Arial" w:hint="default"/>
      </w:rPr>
    </w:lvl>
    <w:lvl w:ilvl="6" w:tplc="F970F0DC" w:tentative="1">
      <w:start w:val="1"/>
      <w:numFmt w:val="bullet"/>
      <w:lvlText w:val="•"/>
      <w:lvlJc w:val="left"/>
      <w:pPr>
        <w:tabs>
          <w:tab w:val="num" w:pos="5040"/>
        </w:tabs>
        <w:ind w:left="5040" w:hanging="360"/>
      </w:pPr>
      <w:rPr>
        <w:rFonts w:ascii="Arial" w:hAnsi="Arial" w:hint="default"/>
      </w:rPr>
    </w:lvl>
    <w:lvl w:ilvl="7" w:tplc="E8E2AB3E" w:tentative="1">
      <w:start w:val="1"/>
      <w:numFmt w:val="bullet"/>
      <w:lvlText w:val="•"/>
      <w:lvlJc w:val="left"/>
      <w:pPr>
        <w:tabs>
          <w:tab w:val="num" w:pos="5760"/>
        </w:tabs>
        <w:ind w:left="5760" w:hanging="360"/>
      </w:pPr>
      <w:rPr>
        <w:rFonts w:ascii="Arial" w:hAnsi="Arial" w:hint="default"/>
      </w:rPr>
    </w:lvl>
    <w:lvl w:ilvl="8" w:tplc="1244FB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43"/>
  </w:num>
  <w:num w:numId="3">
    <w:abstractNumId w:val="25"/>
  </w:num>
  <w:num w:numId="4">
    <w:abstractNumId w:val="9"/>
  </w:num>
  <w:num w:numId="5">
    <w:abstractNumId w:val="18"/>
  </w:num>
  <w:num w:numId="6">
    <w:abstractNumId w:val="46"/>
  </w:num>
  <w:num w:numId="7">
    <w:abstractNumId w:val="35"/>
  </w:num>
  <w:num w:numId="8">
    <w:abstractNumId w:val="34"/>
  </w:num>
  <w:num w:numId="9">
    <w:abstractNumId w:val="19"/>
  </w:num>
  <w:num w:numId="10">
    <w:abstractNumId w:val="21"/>
  </w:num>
  <w:num w:numId="11">
    <w:abstractNumId w:val="29"/>
  </w:num>
  <w:num w:numId="12">
    <w:abstractNumId w:val="0"/>
  </w:num>
  <w:num w:numId="13">
    <w:abstractNumId w:val="27"/>
  </w:num>
  <w:num w:numId="14">
    <w:abstractNumId w:val="38"/>
  </w:num>
  <w:num w:numId="15">
    <w:abstractNumId w:val="39"/>
  </w:num>
  <w:num w:numId="16">
    <w:abstractNumId w:val="22"/>
  </w:num>
  <w:num w:numId="17">
    <w:abstractNumId w:val="44"/>
  </w:num>
  <w:num w:numId="18">
    <w:abstractNumId w:val="5"/>
  </w:num>
  <w:num w:numId="19">
    <w:abstractNumId w:val="30"/>
  </w:num>
  <w:num w:numId="20">
    <w:abstractNumId w:val="14"/>
  </w:num>
  <w:num w:numId="21">
    <w:abstractNumId w:val="20"/>
  </w:num>
  <w:num w:numId="22">
    <w:abstractNumId w:val="24"/>
  </w:num>
  <w:num w:numId="23">
    <w:abstractNumId w:val="31"/>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6"/>
  </w:num>
  <w:num w:numId="27">
    <w:abstractNumId w:val="1"/>
  </w:num>
  <w:num w:numId="28">
    <w:abstractNumId w:val="12"/>
  </w:num>
  <w:num w:numId="29">
    <w:abstractNumId w:val="8"/>
  </w:num>
  <w:num w:numId="30">
    <w:abstractNumId w:val="4"/>
  </w:num>
  <w:num w:numId="31">
    <w:abstractNumId w:val="13"/>
  </w:num>
  <w:num w:numId="32">
    <w:abstractNumId w:val="15"/>
  </w:num>
  <w:num w:numId="33">
    <w:abstractNumId w:val="2"/>
  </w:num>
  <w:num w:numId="34">
    <w:abstractNumId w:val="32"/>
  </w:num>
  <w:num w:numId="35">
    <w:abstractNumId w:val="16"/>
  </w:num>
  <w:num w:numId="36">
    <w:abstractNumId w:val="45"/>
  </w:num>
  <w:num w:numId="37">
    <w:abstractNumId w:val="6"/>
  </w:num>
  <w:num w:numId="38">
    <w:abstractNumId w:val="10"/>
  </w:num>
  <w:num w:numId="39">
    <w:abstractNumId w:val="11"/>
  </w:num>
  <w:num w:numId="40">
    <w:abstractNumId w:val="41"/>
  </w:num>
  <w:num w:numId="41">
    <w:abstractNumId w:val="33"/>
  </w:num>
  <w:num w:numId="42">
    <w:abstractNumId w:val="42"/>
  </w:num>
  <w:num w:numId="43">
    <w:abstractNumId w:val="3"/>
  </w:num>
  <w:num w:numId="44">
    <w:abstractNumId w:val="37"/>
  </w:num>
  <w:num w:numId="45">
    <w:abstractNumId w:val="36"/>
  </w:num>
  <w:num w:numId="46">
    <w:abstractNumId w:val="28"/>
  </w:num>
  <w:num w:numId="4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1E"/>
    <w:rsid w:val="0001535F"/>
    <w:rsid w:val="00015651"/>
    <w:rsid w:val="00015A4B"/>
    <w:rsid w:val="00015AEA"/>
    <w:rsid w:val="00015B29"/>
    <w:rsid w:val="00015F77"/>
    <w:rsid w:val="00016016"/>
    <w:rsid w:val="000160A9"/>
    <w:rsid w:val="00016AF9"/>
    <w:rsid w:val="00016D1A"/>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1ED"/>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178"/>
    <w:rsid w:val="000345EB"/>
    <w:rsid w:val="000347B1"/>
    <w:rsid w:val="00034AD2"/>
    <w:rsid w:val="00034FF2"/>
    <w:rsid w:val="00035AC1"/>
    <w:rsid w:val="0003672F"/>
    <w:rsid w:val="00037056"/>
    <w:rsid w:val="00037365"/>
    <w:rsid w:val="00037425"/>
    <w:rsid w:val="00037A53"/>
    <w:rsid w:val="00037F02"/>
    <w:rsid w:val="00040515"/>
    <w:rsid w:val="0004112C"/>
    <w:rsid w:val="00041DAB"/>
    <w:rsid w:val="0004269E"/>
    <w:rsid w:val="000426C7"/>
    <w:rsid w:val="00042CEE"/>
    <w:rsid w:val="000430A6"/>
    <w:rsid w:val="000433DD"/>
    <w:rsid w:val="000437D2"/>
    <w:rsid w:val="00043E4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4AF"/>
    <w:rsid w:val="0007387C"/>
    <w:rsid w:val="00073D47"/>
    <w:rsid w:val="00073FA3"/>
    <w:rsid w:val="0007409C"/>
    <w:rsid w:val="00074450"/>
    <w:rsid w:val="000744E0"/>
    <w:rsid w:val="00074589"/>
    <w:rsid w:val="00074C1F"/>
    <w:rsid w:val="00074EC2"/>
    <w:rsid w:val="0007548F"/>
    <w:rsid w:val="00075E03"/>
    <w:rsid w:val="000763E6"/>
    <w:rsid w:val="00076558"/>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1D"/>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454B"/>
    <w:rsid w:val="001451B1"/>
    <w:rsid w:val="00145DC2"/>
    <w:rsid w:val="0014619B"/>
    <w:rsid w:val="0014667F"/>
    <w:rsid w:val="00146E8E"/>
    <w:rsid w:val="00147269"/>
    <w:rsid w:val="0014747E"/>
    <w:rsid w:val="00147A94"/>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83F"/>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2F0D"/>
    <w:rsid w:val="00193934"/>
    <w:rsid w:val="00193BC8"/>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2FC1"/>
    <w:rsid w:val="001A3853"/>
    <w:rsid w:val="001A38CD"/>
    <w:rsid w:val="001A391A"/>
    <w:rsid w:val="001A3E40"/>
    <w:rsid w:val="001A3E51"/>
    <w:rsid w:val="001A4272"/>
    <w:rsid w:val="001A440B"/>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2DB"/>
    <w:rsid w:val="001C4337"/>
    <w:rsid w:val="001C4676"/>
    <w:rsid w:val="001C4B14"/>
    <w:rsid w:val="001C4D9F"/>
    <w:rsid w:val="001C4EEC"/>
    <w:rsid w:val="001C551C"/>
    <w:rsid w:val="001C58BD"/>
    <w:rsid w:val="001C5B21"/>
    <w:rsid w:val="001C5E7D"/>
    <w:rsid w:val="001C639E"/>
    <w:rsid w:val="001C6501"/>
    <w:rsid w:val="001C69CF"/>
    <w:rsid w:val="001C6A2E"/>
    <w:rsid w:val="001C6BAD"/>
    <w:rsid w:val="001C6E22"/>
    <w:rsid w:val="001C7625"/>
    <w:rsid w:val="001D0853"/>
    <w:rsid w:val="001D11CE"/>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2DD8"/>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98A"/>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3D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6EC0"/>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D75"/>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53B"/>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79E"/>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62F"/>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EE2"/>
    <w:rsid w:val="0032302D"/>
    <w:rsid w:val="00324866"/>
    <w:rsid w:val="003250C8"/>
    <w:rsid w:val="003258BB"/>
    <w:rsid w:val="003273C6"/>
    <w:rsid w:val="00327A6E"/>
    <w:rsid w:val="003300BD"/>
    <w:rsid w:val="00330797"/>
    <w:rsid w:val="003309F4"/>
    <w:rsid w:val="00331C6A"/>
    <w:rsid w:val="00332257"/>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40"/>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2F"/>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E39"/>
    <w:rsid w:val="003B4F7B"/>
    <w:rsid w:val="003B50D7"/>
    <w:rsid w:val="003B5AA1"/>
    <w:rsid w:val="003B5C2A"/>
    <w:rsid w:val="003B6070"/>
    <w:rsid w:val="003B61DA"/>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4E46"/>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3E7"/>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049C"/>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A16"/>
    <w:rsid w:val="004A0EAB"/>
    <w:rsid w:val="004A0EAE"/>
    <w:rsid w:val="004A1A52"/>
    <w:rsid w:val="004A1A55"/>
    <w:rsid w:val="004A26A8"/>
    <w:rsid w:val="004A2845"/>
    <w:rsid w:val="004A2996"/>
    <w:rsid w:val="004A2A08"/>
    <w:rsid w:val="004A2EDA"/>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4AD"/>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BE7"/>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6C"/>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741"/>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46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C79"/>
    <w:rsid w:val="00565EDF"/>
    <w:rsid w:val="005660A6"/>
    <w:rsid w:val="00566183"/>
    <w:rsid w:val="005666A9"/>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18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C76B3"/>
    <w:rsid w:val="005D0100"/>
    <w:rsid w:val="005D05E3"/>
    <w:rsid w:val="005D0890"/>
    <w:rsid w:val="005D100E"/>
    <w:rsid w:val="005D10BA"/>
    <w:rsid w:val="005D1447"/>
    <w:rsid w:val="005D22A1"/>
    <w:rsid w:val="005D353F"/>
    <w:rsid w:val="005D36FD"/>
    <w:rsid w:val="005D39A4"/>
    <w:rsid w:val="005D3B3E"/>
    <w:rsid w:val="005D3F97"/>
    <w:rsid w:val="005D44F5"/>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8E"/>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7D4"/>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1294"/>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013"/>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81"/>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C77"/>
    <w:rsid w:val="00731F3E"/>
    <w:rsid w:val="00733392"/>
    <w:rsid w:val="0073413F"/>
    <w:rsid w:val="007359F4"/>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68"/>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3E4"/>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0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BE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6CA3"/>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437"/>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5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1E"/>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FF"/>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1CFA"/>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FFC"/>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0B06"/>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88"/>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37F2"/>
    <w:rsid w:val="0095416C"/>
    <w:rsid w:val="009544D2"/>
    <w:rsid w:val="00954753"/>
    <w:rsid w:val="009547EE"/>
    <w:rsid w:val="009552A7"/>
    <w:rsid w:val="00955CE5"/>
    <w:rsid w:val="00955EFD"/>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18"/>
    <w:rsid w:val="009849B0"/>
    <w:rsid w:val="009849E8"/>
    <w:rsid w:val="00984A78"/>
    <w:rsid w:val="00984E2D"/>
    <w:rsid w:val="00984E33"/>
    <w:rsid w:val="00984F5F"/>
    <w:rsid w:val="009854E3"/>
    <w:rsid w:val="009856C7"/>
    <w:rsid w:val="00985EF7"/>
    <w:rsid w:val="0098635E"/>
    <w:rsid w:val="009864C4"/>
    <w:rsid w:val="0098680D"/>
    <w:rsid w:val="0098699A"/>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45B"/>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776"/>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276"/>
    <w:rsid w:val="00A02837"/>
    <w:rsid w:val="00A02D44"/>
    <w:rsid w:val="00A036BA"/>
    <w:rsid w:val="00A03C77"/>
    <w:rsid w:val="00A0403A"/>
    <w:rsid w:val="00A040AC"/>
    <w:rsid w:val="00A043E3"/>
    <w:rsid w:val="00A04A3D"/>
    <w:rsid w:val="00A0574A"/>
    <w:rsid w:val="00A05C6C"/>
    <w:rsid w:val="00A05FC1"/>
    <w:rsid w:val="00A06B2E"/>
    <w:rsid w:val="00A078AA"/>
    <w:rsid w:val="00A07C3C"/>
    <w:rsid w:val="00A10156"/>
    <w:rsid w:val="00A10387"/>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B84"/>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B1D"/>
    <w:rsid w:val="00A57C29"/>
    <w:rsid w:val="00A57CEE"/>
    <w:rsid w:val="00A60293"/>
    <w:rsid w:val="00A60759"/>
    <w:rsid w:val="00A6079D"/>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BB1"/>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465"/>
    <w:rsid w:val="00AA26AD"/>
    <w:rsid w:val="00AA275D"/>
    <w:rsid w:val="00AA29E7"/>
    <w:rsid w:val="00AA2FFD"/>
    <w:rsid w:val="00AA34CC"/>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5F2"/>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4F16"/>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3F6"/>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536"/>
    <w:rsid w:val="00B449A9"/>
    <w:rsid w:val="00B44A60"/>
    <w:rsid w:val="00B44E4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AD2"/>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2A1"/>
    <w:rsid w:val="00B9643E"/>
    <w:rsid w:val="00B96A72"/>
    <w:rsid w:val="00B975FF"/>
    <w:rsid w:val="00B97971"/>
    <w:rsid w:val="00B97EDE"/>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0EF8"/>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9C3"/>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6F8F"/>
    <w:rsid w:val="00C47732"/>
    <w:rsid w:val="00C47A87"/>
    <w:rsid w:val="00C47B5C"/>
    <w:rsid w:val="00C500FF"/>
    <w:rsid w:val="00C5092C"/>
    <w:rsid w:val="00C50B1E"/>
    <w:rsid w:val="00C50D82"/>
    <w:rsid w:val="00C5122E"/>
    <w:rsid w:val="00C515E1"/>
    <w:rsid w:val="00C51A13"/>
    <w:rsid w:val="00C52652"/>
    <w:rsid w:val="00C526B7"/>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14B"/>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62"/>
    <w:rsid w:val="00CA31FD"/>
    <w:rsid w:val="00CA34AB"/>
    <w:rsid w:val="00CA35E2"/>
    <w:rsid w:val="00CA3D58"/>
    <w:rsid w:val="00CA5681"/>
    <w:rsid w:val="00CA6665"/>
    <w:rsid w:val="00CA756D"/>
    <w:rsid w:val="00CA7A28"/>
    <w:rsid w:val="00CA7D54"/>
    <w:rsid w:val="00CA7DCE"/>
    <w:rsid w:val="00CA7E9E"/>
    <w:rsid w:val="00CB028B"/>
    <w:rsid w:val="00CB07BD"/>
    <w:rsid w:val="00CB08BF"/>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1891"/>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2ED8"/>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2F8"/>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4F"/>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37D"/>
    <w:rsid w:val="00E17A64"/>
    <w:rsid w:val="00E17FFB"/>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9"/>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634"/>
    <w:rsid w:val="00E64A5E"/>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64"/>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3D0"/>
    <w:rsid w:val="00ED2A4C"/>
    <w:rsid w:val="00ED2BB3"/>
    <w:rsid w:val="00ED3121"/>
    <w:rsid w:val="00ED3178"/>
    <w:rsid w:val="00ED32C8"/>
    <w:rsid w:val="00ED33BD"/>
    <w:rsid w:val="00ED36E1"/>
    <w:rsid w:val="00ED39D3"/>
    <w:rsid w:val="00ED3E02"/>
    <w:rsid w:val="00ED43C1"/>
    <w:rsid w:val="00ED4502"/>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4BC6"/>
    <w:rsid w:val="00EE50DB"/>
    <w:rsid w:val="00EE5C9E"/>
    <w:rsid w:val="00EE5D6C"/>
    <w:rsid w:val="00EE5E2E"/>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8E2"/>
    <w:rsid w:val="00EF3325"/>
    <w:rsid w:val="00EF3390"/>
    <w:rsid w:val="00EF3499"/>
    <w:rsid w:val="00EF47C7"/>
    <w:rsid w:val="00EF5A32"/>
    <w:rsid w:val="00EF5B80"/>
    <w:rsid w:val="00EF6954"/>
    <w:rsid w:val="00EF6ED3"/>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34A"/>
    <w:rsid w:val="00F17876"/>
    <w:rsid w:val="00F179C6"/>
    <w:rsid w:val="00F20542"/>
    <w:rsid w:val="00F205F3"/>
    <w:rsid w:val="00F2061C"/>
    <w:rsid w:val="00F21147"/>
    <w:rsid w:val="00F2117E"/>
    <w:rsid w:val="00F211AE"/>
    <w:rsid w:val="00F213BA"/>
    <w:rsid w:val="00F2192B"/>
    <w:rsid w:val="00F21D9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D71"/>
    <w:rsid w:val="00F32EB8"/>
    <w:rsid w:val="00F3317A"/>
    <w:rsid w:val="00F338F7"/>
    <w:rsid w:val="00F3423B"/>
    <w:rsid w:val="00F343E8"/>
    <w:rsid w:val="00F349F2"/>
    <w:rsid w:val="00F35C2C"/>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F97"/>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37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1737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1737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uiPriority w:val="99"/>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uiPriority w:val="35"/>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
    <w:basedOn w:val="a"/>
    <w:link w:val="Char1"/>
    <w:uiPriority w:val="34"/>
    <w:qFormat/>
    <w:rsid w:val="007C2235"/>
    <w:pPr>
      <w:ind w:left="720"/>
      <w:contextualSpacing/>
    </w:pPr>
    <w:rPr>
      <w:lang w:eastAsia="en-US"/>
    </w:rPr>
  </w:style>
  <w:style w:type="table" w:styleId="af4">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0543286">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4C2F4-FD8C-4D3D-A264-FA48D00A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2018-08-09T01:29:00Z</dcterms:created>
  <dcterms:modified xsi:type="dcterms:W3CDTF">2018-09-28T07:53:00Z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